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31E" w:rsidRPr="0022731E" w:rsidRDefault="0022731E" w:rsidP="0022731E">
      <w:pPr>
        <w:spacing w:before="100" w:beforeAutospacing="1" w:after="100" w:afterAutospacing="1" w:line="240" w:lineRule="auto"/>
        <w:outlineLvl w:val="2"/>
        <w:rPr>
          <w:rFonts w:ascii="Times New Roman" w:eastAsia="Times New Roman" w:hAnsi="Times New Roman" w:cs="Times New Roman"/>
          <w:b/>
          <w:bCs/>
          <w:sz w:val="27"/>
          <w:szCs w:val="27"/>
          <w:lang w:val="es-ES"/>
        </w:rPr>
      </w:pPr>
      <w:r w:rsidRPr="0022731E">
        <w:rPr>
          <w:rFonts w:ascii="Times New Roman" w:eastAsia="Times New Roman" w:hAnsi="Times New Roman" w:cs="Times New Roman"/>
          <w:b/>
          <w:bCs/>
          <w:sz w:val="27"/>
          <w:szCs w:val="27"/>
          <w:lang w:val="es-ES"/>
        </w:rPr>
        <w:t>REPORTE DE ANÁLISIS: EXPEDIENTE MUNICIPAL DE ARMENIA</w:t>
      </w:r>
    </w:p>
    <w:p w:rsidR="0022731E" w:rsidRPr="0022731E" w:rsidRDefault="0022731E" w:rsidP="0022731E">
      <w:pPr>
        <w:spacing w:before="100" w:beforeAutospacing="1" w:after="100" w:afterAutospacing="1" w:line="240" w:lineRule="auto"/>
        <w:outlineLvl w:val="3"/>
        <w:rPr>
          <w:rFonts w:ascii="Times New Roman" w:eastAsia="Times New Roman" w:hAnsi="Times New Roman" w:cs="Times New Roman"/>
          <w:b/>
          <w:bCs/>
          <w:sz w:val="24"/>
          <w:szCs w:val="24"/>
          <w:lang w:val="es-ES"/>
        </w:rPr>
      </w:pPr>
      <w:r w:rsidRPr="0022731E">
        <w:rPr>
          <w:rFonts w:ascii="Times New Roman" w:eastAsia="Times New Roman" w:hAnsi="Times New Roman" w:cs="Times New Roman"/>
          <w:b/>
          <w:bCs/>
          <w:sz w:val="24"/>
          <w:szCs w:val="24"/>
          <w:lang w:val="es-ES"/>
        </w:rPr>
        <w:t>1. Documento: 1.1.5.1 ACUERDO 019 DE 2009 (POT VIGENTE)</w:t>
      </w:r>
    </w:p>
    <w:p w:rsidR="0022731E" w:rsidRPr="0022731E" w:rsidRDefault="0022731E" w:rsidP="0022731E">
      <w:pPr>
        <w:numPr>
          <w:ilvl w:val="0"/>
          <w:numId w:val="1"/>
        </w:numPr>
        <w:spacing w:before="100" w:beforeAutospacing="1" w:after="100" w:afterAutospacing="1" w:line="240" w:lineRule="auto"/>
        <w:rPr>
          <w:rFonts w:ascii="Times New Roman" w:eastAsia="Times New Roman" w:hAnsi="Times New Roman" w:cs="Times New Roman"/>
          <w:sz w:val="24"/>
          <w:szCs w:val="24"/>
          <w:lang w:val="es-ES"/>
        </w:rPr>
      </w:pPr>
      <w:r w:rsidRPr="0022731E">
        <w:rPr>
          <w:rFonts w:ascii="Times New Roman" w:eastAsia="Times New Roman" w:hAnsi="Times New Roman" w:cs="Times New Roman"/>
          <w:b/>
          <w:bCs/>
          <w:sz w:val="24"/>
          <w:szCs w:val="24"/>
          <w:lang w:val="es-ES"/>
        </w:rPr>
        <w:t>Relación de Páginas:</w:t>
      </w:r>
      <w:r w:rsidRPr="0022731E">
        <w:rPr>
          <w:rFonts w:ascii="Times New Roman" w:eastAsia="Times New Roman" w:hAnsi="Times New Roman" w:cs="Times New Roman"/>
          <w:sz w:val="24"/>
          <w:szCs w:val="24"/>
          <w:lang w:val="es-ES"/>
        </w:rPr>
        <w:t xml:space="preserve"> Páginas 40 a 80 (Título III - Sistemas Estructurantes).</w:t>
      </w:r>
    </w:p>
    <w:p w:rsidR="0022731E" w:rsidRPr="0022731E" w:rsidRDefault="0022731E" w:rsidP="0022731E">
      <w:pPr>
        <w:numPr>
          <w:ilvl w:val="0"/>
          <w:numId w:val="1"/>
        </w:numPr>
        <w:spacing w:before="100" w:beforeAutospacing="1" w:after="100" w:afterAutospacing="1" w:line="240" w:lineRule="auto"/>
        <w:rPr>
          <w:rFonts w:ascii="Times New Roman" w:eastAsia="Times New Roman" w:hAnsi="Times New Roman" w:cs="Times New Roman"/>
          <w:sz w:val="24"/>
          <w:szCs w:val="24"/>
          <w:lang w:val="es-ES"/>
        </w:rPr>
      </w:pPr>
      <w:r w:rsidRPr="0022731E">
        <w:rPr>
          <w:rFonts w:ascii="Times New Roman" w:eastAsia="Times New Roman" w:hAnsi="Times New Roman" w:cs="Times New Roman"/>
          <w:b/>
          <w:bCs/>
          <w:sz w:val="24"/>
          <w:szCs w:val="24"/>
          <w:lang w:val="es-ES"/>
        </w:rPr>
        <w:t>Referencia al Espacio Público:</w:t>
      </w:r>
      <w:r w:rsidRPr="0022731E">
        <w:rPr>
          <w:rFonts w:ascii="Times New Roman" w:eastAsia="Times New Roman" w:hAnsi="Times New Roman" w:cs="Times New Roman"/>
          <w:sz w:val="24"/>
          <w:szCs w:val="24"/>
          <w:lang w:val="es-ES"/>
        </w:rPr>
        <w:t xml:space="preserve"> Es el marco legal "madre". Define el espacio público como un </w:t>
      </w:r>
      <w:r w:rsidRPr="0022731E">
        <w:rPr>
          <w:rFonts w:ascii="Times New Roman" w:eastAsia="Times New Roman" w:hAnsi="Times New Roman" w:cs="Times New Roman"/>
          <w:b/>
          <w:bCs/>
          <w:sz w:val="24"/>
          <w:szCs w:val="24"/>
          <w:lang w:val="es-ES"/>
        </w:rPr>
        <w:t>Sistema Estructurante Primario</w:t>
      </w:r>
      <w:r w:rsidRPr="0022731E">
        <w:rPr>
          <w:rFonts w:ascii="Times New Roman" w:eastAsia="Times New Roman" w:hAnsi="Times New Roman" w:cs="Times New Roman"/>
          <w:sz w:val="24"/>
          <w:szCs w:val="24"/>
          <w:lang w:val="es-ES"/>
        </w:rPr>
        <w:t>. Establece la clasificación de parques (urbanos, zonales y locales) y las metas originales de metros cuadrados por habitante para el periodo 2009-2023. Es el punto de partida para medir qué tanto se cumplió de lo prometido hace 14 años.</w:t>
      </w:r>
    </w:p>
    <w:p w:rsidR="0022731E" w:rsidRPr="0022731E" w:rsidRDefault="0022731E" w:rsidP="0022731E">
      <w:pPr>
        <w:spacing w:before="100" w:beforeAutospacing="1" w:after="100" w:afterAutospacing="1" w:line="240" w:lineRule="auto"/>
        <w:outlineLvl w:val="3"/>
        <w:rPr>
          <w:rFonts w:ascii="Times New Roman" w:eastAsia="Times New Roman" w:hAnsi="Times New Roman" w:cs="Times New Roman"/>
          <w:b/>
          <w:bCs/>
          <w:sz w:val="24"/>
          <w:szCs w:val="24"/>
          <w:lang w:val="en-US"/>
        </w:rPr>
      </w:pPr>
      <w:r w:rsidRPr="0022731E">
        <w:rPr>
          <w:rFonts w:ascii="Times New Roman" w:eastAsia="Times New Roman" w:hAnsi="Times New Roman" w:cs="Times New Roman"/>
          <w:b/>
          <w:bCs/>
          <w:sz w:val="24"/>
          <w:szCs w:val="24"/>
          <w:lang w:val="en-US"/>
        </w:rPr>
        <w:t xml:space="preserve">2. </w:t>
      </w:r>
      <w:proofErr w:type="spellStart"/>
      <w:r w:rsidRPr="0022731E">
        <w:rPr>
          <w:rFonts w:ascii="Times New Roman" w:eastAsia="Times New Roman" w:hAnsi="Times New Roman" w:cs="Times New Roman"/>
          <w:b/>
          <w:bCs/>
          <w:sz w:val="24"/>
          <w:szCs w:val="24"/>
          <w:lang w:val="en-US"/>
        </w:rPr>
        <w:t>Documento</w:t>
      </w:r>
      <w:proofErr w:type="spellEnd"/>
      <w:r w:rsidRPr="0022731E">
        <w:rPr>
          <w:rFonts w:ascii="Times New Roman" w:eastAsia="Times New Roman" w:hAnsi="Times New Roman" w:cs="Times New Roman"/>
          <w:b/>
          <w:bCs/>
          <w:sz w:val="24"/>
          <w:szCs w:val="24"/>
          <w:lang w:val="en-US"/>
        </w:rPr>
        <w:t>: 1.2.9. VOL 7 NORMA URBANA POT</w:t>
      </w:r>
    </w:p>
    <w:p w:rsidR="0022731E" w:rsidRPr="0022731E" w:rsidRDefault="0022731E" w:rsidP="0022731E">
      <w:pPr>
        <w:numPr>
          <w:ilvl w:val="0"/>
          <w:numId w:val="2"/>
        </w:numPr>
        <w:spacing w:before="100" w:beforeAutospacing="1" w:after="100" w:afterAutospacing="1" w:line="240" w:lineRule="auto"/>
        <w:rPr>
          <w:rFonts w:ascii="Times New Roman" w:eastAsia="Times New Roman" w:hAnsi="Times New Roman" w:cs="Times New Roman"/>
          <w:sz w:val="24"/>
          <w:szCs w:val="24"/>
          <w:lang w:val="es-ES"/>
        </w:rPr>
      </w:pPr>
      <w:r w:rsidRPr="0022731E">
        <w:rPr>
          <w:rFonts w:ascii="Times New Roman" w:eastAsia="Times New Roman" w:hAnsi="Times New Roman" w:cs="Times New Roman"/>
          <w:b/>
          <w:bCs/>
          <w:sz w:val="24"/>
          <w:szCs w:val="24"/>
          <w:lang w:val="es-ES"/>
        </w:rPr>
        <w:t>Relación de Páginas:</w:t>
      </w:r>
      <w:r w:rsidRPr="0022731E">
        <w:rPr>
          <w:rFonts w:ascii="Times New Roman" w:eastAsia="Times New Roman" w:hAnsi="Times New Roman" w:cs="Times New Roman"/>
          <w:sz w:val="24"/>
          <w:szCs w:val="24"/>
          <w:lang w:val="es-ES"/>
        </w:rPr>
        <w:t xml:space="preserve"> * </w:t>
      </w:r>
      <w:r w:rsidRPr="0022731E">
        <w:rPr>
          <w:rFonts w:ascii="Times New Roman" w:eastAsia="Times New Roman" w:hAnsi="Times New Roman" w:cs="Times New Roman"/>
          <w:b/>
          <w:bCs/>
          <w:sz w:val="24"/>
          <w:szCs w:val="24"/>
          <w:lang w:val="es-ES"/>
        </w:rPr>
        <w:t>Página 3 (Numeral 2.3):</w:t>
      </w:r>
      <w:r w:rsidRPr="0022731E">
        <w:rPr>
          <w:rFonts w:ascii="Times New Roman" w:eastAsia="Times New Roman" w:hAnsi="Times New Roman" w:cs="Times New Roman"/>
          <w:sz w:val="24"/>
          <w:szCs w:val="24"/>
          <w:lang w:val="es-ES"/>
        </w:rPr>
        <w:t xml:space="preserve"> Cesiones y Dotaciones.</w:t>
      </w:r>
    </w:p>
    <w:p w:rsidR="0022731E" w:rsidRPr="0022731E" w:rsidRDefault="0022731E" w:rsidP="0022731E">
      <w:pPr>
        <w:numPr>
          <w:ilvl w:val="1"/>
          <w:numId w:val="2"/>
        </w:numPr>
        <w:spacing w:before="100" w:beforeAutospacing="1" w:after="100" w:afterAutospacing="1" w:line="240" w:lineRule="auto"/>
        <w:rPr>
          <w:rFonts w:ascii="Times New Roman" w:eastAsia="Times New Roman" w:hAnsi="Times New Roman" w:cs="Times New Roman"/>
          <w:sz w:val="24"/>
          <w:szCs w:val="24"/>
          <w:lang w:val="es-ES"/>
        </w:rPr>
      </w:pPr>
      <w:r w:rsidRPr="0022731E">
        <w:rPr>
          <w:rFonts w:ascii="Times New Roman" w:eastAsia="Times New Roman" w:hAnsi="Times New Roman" w:cs="Times New Roman"/>
          <w:b/>
          <w:bCs/>
          <w:sz w:val="24"/>
          <w:szCs w:val="24"/>
          <w:lang w:val="es-ES"/>
        </w:rPr>
        <w:t>Página 40 (Numeral 13.1):</w:t>
      </w:r>
      <w:r w:rsidRPr="0022731E">
        <w:rPr>
          <w:rFonts w:ascii="Times New Roman" w:eastAsia="Times New Roman" w:hAnsi="Times New Roman" w:cs="Times New Roman"/>
          <w:sz w:val="24"/>
          <w:szCs w:val="24"/>
          <w:lang w:val="es-ES"/>
        </w:rPr>
        <w:t xml:space="preserve"> Reglas para el Tratamiento de Desarrollo.</w:t>
      </w:r>
    </w:p>
    <w:p w:rsidR="0022731E" w:rsidRPr="0022731E" w:rsidRDefault="0022731E" w:rsidP="0022731E">
      <w:pPr>
        <w:numPr>
          <w:ilvl w:val="1"/>
          <w:numId w:val="2"/>
        </w:numPr>
        <w:spacing w:before="100" w:beforeAutospacing="1" w:after="100" w:afterAutospacing="1" w:line="240" w:lineRule="auto"/>
        <w:rPr>
          <w:rFonts w:ascii="Times New Roman" w:eastAsia="Times New Roman" w:hAnsi="Times New Roman" w:cs="Times New Roman"/>
          <w:sz w:val="24"/>
          <w:szCs w:val="24"/>
          <w:lang w:val="es-ES"/>
        </w:rPr>
      </w:pPr>
      <w:r w:rsidRPr="0022731E">
        <w:rPr>
          <w:rFonts w:ascii="Times New Roman" w:eastAsia="Times New Roman" w:hAnsi="Times New Roman" w:cs="Times New Roman"/>
          <w:b/>
          <w:bCs/>
          <w:sz w:val="24"/>
          <w:szCs w:val="24"/>
          <w:lang w:val="es-ES"/>
        </w:rPr>
        <w:t>Páginas 60 en adelante:</w:t>
      </w:r>
      <w:r w:rsidRPr="0022731E">
        <w:rPr>
          <w:rFonts w:ascii="Times New Roman" w:eastAsia="Times New Roman" w:hAnsi="Times New Roman" w:cs="Times New Roman"/>
          <w:sz w:val="24"/>
          <w:szCs w:val="24"/>
          <w:lang w:val="es-ES"/>
        </w:rPr>
        <w:t xml:space="preserve"> Fichas Normativas por sector.</w:t>
      </w:r>
    </w:p>
    <w:p w:rsidR="0022731E" w:rsidRPr="0022731E" w:rsidRDefault="0022731E" w:rsidP="0022731E">
      <w:pPr>
        <w:numPr>
          <w:ilvl w:val="0"/>
          <w:numId w:val="2"/>
        </w:numPr>
        <w:spacing w:before="100" w:beforeAutospacing="1" w:after="100" w:afterAutospacing="1" w:line="240" w:lineRule="auto"/>
        <w:rPr>
          <w:rFonts w:ascii="Times New Roman" w:eastAsia="Times New Roman" w:hAnsi="Times New Roman" w:cs="Times New Roman"/>
          <w:sz w:val="24"/>
          <w:szCs w:val="24"/>
          <w:lang w:val="es-ES"/>
        </w:rPr>
      </w:pPr>
      <w:r w:rsidRPr="0022731E">
        <w:rPr>
          <w:rFonts w:ascii="Times New Roman" w:eastAsia="Times New Roman" w:hAnsi="Times New Roman" w:cs="Times New Roman"/>
          <w:b/>
          <w:bCs/>
          <w:sz w:val="24"/>
          <w:szCs w:val="24"/>
          <w:lang w:val="es-ES"/>
        </w:rPr>
        <w:t>Referencia al Espacio Público:</w:t>
      </w:r>
      <w:r w:rsidRPr="0022731E">
        <w:rPr>
          <w:rFonts w:ascii="Times New Roman" w:eastAsia="Times New Roman" w:hAnsi="Times New Roman" w:cs="Times New Roman"/>
          <w:sz w:val="24"/>
          <w:szCs w:val="24"/>
          <w:lang w:val="es-ES"/>
        </w:rPr>
        <w:t xml:space="preserve"> Contiene la "letra menuda" de cómo se obtiene el espacio público. Detalla las </w:t>
      </w:r>
      <w:r w:rsidRPr="0022731E">
        <w:rPr>
          <w:rFonts w:ascii="Times New Roman" w:eastAsia="Times New Roman" w:hAnsi="Times New Roman" w:cs="Times New Roman"/>
          <w:b/>
          <w:bCs/>
          <w:sz w:val="24"/>
          <w:szCs w:val="24"/>
          <w:lang w:val="es-ES"/>
        </w:rPr>
        <w:t>obligaciones urbanísticas</w:t>
      </w:r>
      <w:r w:rsidRPr="0022731E">
        <w:rPr>
          <w:rFonts w:ascii="Times New Roman" w:eastAsia="Times New Roman" w:hAnsi="Times New Roman" w:cs="Times New Roman"/>
          <w:sz w:val="24"/>
          <w:szCs w:val="24"/>
          <w:lang w:val="es-ES"/>
        </w:rPr>
        <w:t xml:space="preserve"> que los constructores deben cumplir. En las fichas normativas se especifica el porcentaje exacto de suelo que cada proyecto debe ceder para zonas verdes y recreación según su ubicación en la ciudad.</w:t>
      </w:r>
    </w:p>
    <w:p w:rsidR="0022731E" w:rsidRPr="0022731E" w:rsidRDefault="0022731E" w:rsidP="0022731E">
      <w:pPr>
        <w:spacing w:before="100" w:beforeAutospacing="1" w:after="100" w:afterAutospacing="1" w:line="240" w:lineRule="auto"/>
        <w:outlineLvl w:val="3"/>
        <w:rPr>
          <w:rFonts w:ascii="Times New Roman" w:eastAsia="Times New Roman" w:hAnsi="Times New Roman" w:cs="Times New Roman"/>
          <w:b/>
          <w:bCs/>
          <w:sz w:val="24"/>
          <w:szCs w:val="24"/>
          <w:lang w:val="es-ES"/>
        </w:rPr>
      </w:pPr>
      <w:r w:rsidRPr="0022731E">
        <w:rPr>
          <w:rFonts w:ascii="Times New Roman" w:eastAsia="Times New Roman" w:hAnsi="Times New Roman" w:cs="Times New Roman"/>
          <w:b/>
          <w:bCs/>
          <w:sz w:val="24"/>
          <w:szCs w:val="24"/>
          <w:lang w:val="es-ES"/>
        </w:rPr>
        <w:t>3. Documento: 1.1.2.3. VOL 4A COMPONENTE TÉCNICO GENERAL</w:t>
      </w:r>
    </w:p>
    <w:p w:rsidR="0022731E" w:rsidRPr="0022731E" w:rsidRDefault="0022731E" w:rsidP="0022731E">
      <w:pPr>
        <w:numPr>
          <w:ilvl w:val="0"/>
          <w:numId w:val="3"/>
        </w:numPr>
        <w:spacing w:before="100" w:beforeAutospacing="1" w:after="100" w:afterAutospacing="1" w:line="240" w:lineRule="auto"/>
        <w:rPr>
          <w:rFonts w:ascii="Times New Roman" w:eastAsia="Times New Roman" w:hAnsi="Times New Roman" w:cs="Times New Roman"/>
          <w:sz w:val="24"/>
          <w:szCs w:val="24"/>
          <w:lang w:val="es-ES"/>
        </w:rPr>
      </w:pPr>
      <w:r w:rsidRPr="0022731E">
        <w:rPr>
          <w:rFonts w:ascii="Times New Roman" w:eastAsia="Times New Roman" w:hAnsi="Times New Roman" w:cs="Times New Roman"/>
          <w:b/>
          <w:bCs/>
          <w:sz w:val="24"/>
          <w:szCs w:val="24"/>
          <w:lang w:val="es-ES"/>
        </w:rPr>
        <w:t>Relación de Páginas:</w:t>
      </w:r>
      <w:r w:rsidRPr="0022731E">
        <w:rPr>
          <w:rFonts w:ascii="Times New Roman" w:eastAsia="Times New Roman" w:hAnsi="Times New Roman" w:cs="Times New Roman"/>
          <w:sz w:val="24"/>
          <w:szCs w:val="24"/>
          <w:lang w:val="es-ES"/>
        </w:rPr>
        <w:t xml:space="preserve"> Páginas 28 a 32 (Objetivos Estratégicos y Políticas).</w:t>
      </w:r>
    </w:p>
    <w:p w:rsidR="0022731E" w:rsidRPr="0022731E" w:rsidRDefault="0022731E" w:rsidP="0022731E">
      <w:pPr>
        <w:numPr>
          <w:ilvl w:val="0"/>
          <w:numId w:val="3"/>
        </w:numPr>
        <w:spacing w:before="100" w:beforeAutospacing="1" w:after="100" w:afterAutospacing="1" w:line="240" w:lineRule="auto"/>
        <w:rPr>
          <w:rFonts w:ascii="Times New Roman" w:eastAsia="Times New Roman" w:hAnsi="Times New Roman" w:cs="Times New Roman"/>
          <w:sz w:val="24"/>
          <w:szCs w:val="24"/>
          <w:lang w:val="es-ES"/>
        </w:rPr>
      </w:pPr>
      <w:r w:rsidRPr="0022731E">
        <w:rPr>
          <w:rFonts w:ascii="Times New Roman" w:eastAsia="Times New Roman" w:hAnsi="Times New Roman" w:cs="Times New Roman"/>
          <w:b/>
          <w:bCs/>
          <w:sz w:val="24"/>
          <w:szCs w:val="24"/>
          <w:lang w:val="es-ES"/>
        </w:rPr>
        <w:t>Referencia al Espacio Público:</w:t>
      </w:r>
      <w:r w:rsidRPr="0022731E">
        <w:rPr>
          <w:rFonts w:ascii="Times New Roman" w:eastAsia="Times New Roman" w:hAnsi="Times New Roman" w:cs="Times New Roman"/>
          <w:sz w:val="24"/>
          <w:szCs w:val="24"/>
          <w:lang w:val="es-ES"/>
        </w:rPr>
        <w:t xml:space="preserve"> Describe la </w:t>
      </w:r>
      <w:r w:rsidRPr="0022731E">
        <w:rPr>
          <w:rFonts w:ascii="Times New Roman" w:eastAsia="Times New Roman" w:hAnsi="Times New Roman" w:cs="Times New Roman"/>
          <w:b/>
          <w:bCs/>
          <w:sz w:val="24"/>
          <w:szCs w:val="24"/>
          <w:lang w:val="es-ES"/>
        </w:rPr>
        <w:t>visión estratégica</w:t>
      </w:r>
      <w:r w:rsidRPr="0022731E">
        <w:rPr>
          <w:rFonts w:ascii="Times New Roman" w:eastAsia="Times New Roman" w:hAnsi="Times New Roman" w:cs="Times New Roman"/>
          <w:sz w:val="24"/>
          <w:szCs w:val="24"/>
          <w:lang w:val="es-ES"/>
        </w:rPr>
        <w:t>. Plantea el espacio público no solo como áreas verdes, sino como el eje articulador de la competitividad y la conectividad urbana. Es fundamental para el diagnóstico porque aquí se explica la intención de conectar las cañadas con el tejido urbano, un objetivo que el seguimiento de 2023 marca como pendiente.</w:t>
      </w:r>
    </w:p>
    <w:p w:rsidR="0022731E" w:rsidRPr="0022731E" w:rsidRDefault="0022731E" w:rsidP="0022731E">
      <w:pPr>
        <w:spacing w:before="100" w:beforeAutospacing="1" w:after="100" w:afterAutospacing="1" w:line="240" w:lineRule="auto"/>
        <w:outlineLvl w:val="3"/>
        <w:rPr>
          <w:rFonts w:ascii="Times New Roman" w:eastAsia="Times New Roman" w:hAnsi="Times New Roman" w:cs="Times New Roman"/>
          <w:b/>
          <w:bCs/>
          <w:sz w:val="24"/>
          <w:szCs w:val="24"/>
          <w:lang w:val="es-ES"/>
        </w:rPr>
      </w:pPr>
      <w:r w:rsidRPr="0022731E">
        <w:rPr>
          <w:rFonts w:ascii="Times New Roman" w:eastAsia="Times New Roman" w:hAnsi="Times New Roman" w:cs="Times New Roman"/>
          <w:b/>
          <w:bCs/>
          <w:sz w:val="24"/>
          <w:szCs w:val="24"/>
          <w:lang w:val="es-ES"/>
        </w:rPr>
        <w:t>4. Documento: 1121VO~1.PDF (VOLUMEN 1 - EVALUACIÓN 1999-2007)</w:t>
      </w:r>
    </w:p>
    <w:p w:rsidR="0022731E" w:rsidRPr="0022731E" w:rsidRDefault="0022731E" w:rsidP="0022731E">
      <w:pPr>
        <w:numPr>
          <w:ilvl w:val="0"/>
          <w:numId w:val="4"/>
        </w:numPr>
        <w:spacing w:before="100" w:beforeAutospacing="1" w:after="100" w:afterAutospacing="1" w:line="240" w:lineRule="auto"/>
        <w:rPr>
          <w:rFonts w:ascii="Times New Roman" w:eastAsia="Times New Roman" w:hAnsi="Times New Roman" w:cs="Times New Roman"/>
          <w:sz w:val="24"/>
          <w:szCs w:val="24"/>
          <w:lang w:val="es-ES"/>
        </w:rPr>
      </w:pPr>
      <w:r w:rsidRPr="0022731E">
        <w:rPr>
          <w:rFonts w:ascii="Times New Roman" w:eastAsia="Times New Roman" w:hAnsi="Times New Roman" w:cs="Times New Roman"/>
          <w:b/>
          <w:bCs/>
          <w:sz w:val="24"/>
          <w:szCs w:val="24"/>
          <w:lang w:val="es-ES"/>
        </w:rPr>
        <w:t>Relación de Páginas:</w:t>
      </w:r>
      <w:r w:rsidRPr="0022731E">
        <w:rPr>
          <w:rFonts w:ascii="Times New Roman" w:eastAsia="Times New Roman" w:hAnsi="Times New Roman" w:cs="Times New Roman"/>
          <w:sz w:val="24"/>
          <w:szCs w:val="24"/>
          <w:lang w:val="es-ES"/>
        </w:rPr>
        <w:t xml:space="preserve"> Página 3 y anexos de indicadores.</w:t>
      </w:r>
    </w:p>
    <w:p w:rsidR="0022731E" w:rsidRPr="0022731E" w:rsidRDefault="0022731E" w:rsidP="0022731E">
      <w:pPr>
        <w:numPr>
          <w:ilvl w:val="0"/>
          <w:numId w:val="4"/>
        </w:numPr>
        <w:spacing w:before="100" w:beforeAutospacing="1" w:after="100" w:afterAutospacing="1" w:line="240" w:lineRule="auto"/>
        <w:rPr>
          <w:rFonts w:ascii="Times New Roman" w:eastAsia="Times New Roman" w:hAnsi="Times New Roman" w:cs="Times New Roman"/>
          <w:sz w:val="24"/>
          <w:szCs w:val="24"/>
          <w:lang w:val="es-ES"/>
        </w:rPr>
      </w:pPr>
      <w:r w:rsidRPr="0022731E">
        <w:rPr>
          <w:rFonts w:ascii="Times New Roman" w:eastAsia="Times New Roman" w:hAnsi="Times New Roman" w:cs="Times New Roman"/>
          <w:b/>
          <w:bCs/>
          <w:sz w:val="24"/>
          <w:szCs w:val="24"/>
          <w:lang w:val="es-ES"/>
        </w:rPr>
        <w:t>Referencia al Espacio Público:</w:t>
      </w:r>
      <w:r w:rsidRPr="0022731E">
        <w:rPr>
          <w:rFonts w:ascii="Times New Roman" w:eastAsia="Times New Roman" w:hAnsi="Times New Roman" w:cs="Times New Roman"/>
          <w:sz w:val="24"/>
          <w:szCs w:val="24"/>
          <w:lang w:val="es-ES"/>
        </w:rPr>
        <w:t xml:space="preserve"> Proporciona el antecedente histórico. Evalúa el estado del espacio público tras el terremoto y la reconstrucción. Menciona cómo las </w:t>
      </w:r>
      <w:r w:rsidRPr="0022731E">
        <w:rPr>
          <w:rFonts w:ascii="Times New Roman" w:eastAsia="Times New Roman" w:hAnsi="Times New Roman" w:cs="Times New Roman"/>
          <w:b/>
          <w:bCs/>
          <w:sz w:val="24"/>
          <w:szCs w:val="24"/>
          <w:lang w:val="es-ES"/>
        </w:rPr>
        <w:t>zonas de protección ambiental</w:t>
      </w:r>
      <w:r w:rsidRPr="0022731E">
        <w:rPr>
          <w:rFonts w:ascii="Times New Roman" w:eastAsia="Times New Roman" w:hAnsi="Times New Roman" w:cs="Times New Roman"/>
          <w:sz w:val="24"/>
          <w:szCs w:val="24"/>
          <w:lang w:val="es-ES"/>
        </w:rPr>
        <w:t xml:space="preserve"> (cañadas) han sido históricamente el "espacio público natural" de Armenia, pero advierte sobre su degradación y la falta de mantenimiento.</w:t>
      </w:r>
    </w:p>
    <w:p w:rsidR="0022731E" w:rsidRPr="0022731E" w:rsidRDefault="0022731E" w:rsidP="0022731E">
      <w:pPr>
        <w:spacing w:before="100" w:beforeAutospacing="1" w:after="100" w:afterAutospacing="1" w:line="240" w:lineRule="auto"/>
        <w:outlineLvl w:val="3"/>
        <w:rPr>
          <w:rFonts w:ascii="Times New Roman" w:eastAsia="Times New Roman" w:hAnsi="Times New Roman" w:cs="Times New Roman"/>
          <w:b/>
          <w:bCs/>
          <w:sz w:val="24"/>
          <w:szCs w:val="24"/>
          <w:lang w:val="es-ES"/>
        </w:rPr>
      </w:pPr>
      <w:r w:rsidRPr="0022731E">
        <w:rPr>
          <w:rFonts w:ascii="Times New Roman" w:eastAsia="Times New Roman" w:hAnsi="Times New Roman" w:cs="Times New Roman"/>
          <w:b/>
          <w:bCs/>
          <w:sz w:val="24"/>
          <w:szCs w:val="24"/>
          <w:lang w:val="es-ES"/>
        </w:rPr>
        <w:t>5. Documento: 1.1.2.6. VOL 6 INSTRUMENTOS DE GESTIÓN Y EJECUCIÓN</w:t>
      </w:r>
    </w:p>
    <w:p w:rsidR="0022731E" w:rsidRPr="0022731E" w:rsidRDefault="0022731E" w:rsidP="0022731E">
      <w:pPr>
        <w:numPr>
          <w:ilvl w:val="0"/>
          <w:numId w:val="5"/>
        </w:numPr>
        <w:spacing w:before="100" w:beforeAutospacing="1" w:after="100" w:afterAutospacing="1" w:line="240" w:lineRule="auto"/>
        <w:rPr>
          <w:rFonts w:ascii="Times New Roman" w:eastAsia="Times New Roman" w:hAnsi="Times New Roman" w:cs="Times New Roman"/>
          <w:sz w:val="24"/>
          <w:szCs w:val="24"/>
          <w:lang w:val="es-ES"/>
        </w:rPr>
      </w:pPr>
      <w:r w:rsidRPr="0022731E">
        <w:rPr>
          <w:rFonts w:ascii="Times New Roman" w:eastAsia="Times New Roman" w:hAnsi="Times New Roman" w:cs="Times New Roman"/>
          <w:b/>
          <w:bCs/>
          <w:sz w:val="24"/>
          <w:szCs w:val="24"/>
          <w:lang w:val="es-ES"/>
        </w:rPr>
        <w:t>Relación de Páginas:</w:t>
      </w:r>
      <w:r w:rsidRPr="0022731E">
        <w:rPr>
          <w:rFonts w:ascii="Times New Roman" w:eastAsia="Times New Roman" w:hAnsi="Times New Roman" w:cs="Times New Roman"/>
          <w:sz w:val="24"/>
          <w:szCs w:val="24"/>
          <w:lang w:val="es-ES"/>
        </w:rPr>
        <w:t xml:space="preserve"> Sección de programas de ejecución y financiación.</w:t>
      </w:r>
    </w:p>
    <w:p w:rsidR="0022731E" w:rsidRPr="0022731E" w:rsidRDefault="0022731E" w:rsidP="0022731E">
      <w:pPr>
        <w:numPr>
          <w:ilvl w:val="0"/>
          <w:numId w:val="5"/>
        </w:numPr>
        <w:spacing w:before="100" w:beforeAutospacing="1" w:after="100" w:afterAutospacing="1" w:line="240" w:lineRule="auto"/>
        <w:rPr>
          <w:rFonts w:ascii="Times New Roman" w:eastAsia="Times New Roman" w:hAnsi="Times New Roman" w:cs="Times New Roman"/>
          <w:sz w:val="24"/>
          <w:szCs w:val="24"/>
          <w:lang w:val="es-ES"/>
        </w:rPr>
      </w:pPr>
      <w:r w:rsidRPr="0022731E">
        <w:rPr>
          <w:rFonts w:ascii="Times New Roman" w:eastAsia="Times New Roman" w:hAnsi="Times New Roman" w:cs="Times New Roman"/>
          <w:b/>
          <w:bCs/>
          <w:sz w:val="24"/>
          <w:szCs w:val="24"/>
          <w:lang w:val="es-ES"/>
        </w:rPr>
        <w:t>Referencia al Espacio Público:</w:t>
      </w:r>
      <w:r w:rsidRPr="0022731E">
        <w:rPr>
          <w:rFonts w:ascii="Times New Roman" w:eastAsia="Times New Roman" w:hAnsi="Times New Roman" w:cs="Times New Roman"/>
          <w:sz w:val="24"/>
          <w:szCs w:val="24"/>
          <w:lang w:val="es-ES"/>
        </w:rPr>
        <w:t xml:space="preserve"> Se enfoca en el "cómo pagar" el espacio público. Habla de la </w:t>
      </w:r>
      <w:r w:rsidRPr="0022731E">
        <w:rPr>
          <w:rFonts w:ascii="Times New Roman" w:eastAsia="Times New Roman" w:hAnsi="Times New Roman" w:cs="Times New Roman"/>
          <w:b/>
          <w:bCs/>
          <w:sz w:val="24"/>
          <w:szCs w:val="24"/>
          <w:lang w:val="es-ES"/>
        </w:rPr>
        <w:t>Plusvalía</w:t>
      </w:r>
      <w:r w:rsidRPr="0022731E">
        <w:rPr>
          <w:rFonts w:ascii="Times New Roman" w:eastAsia="Times New Roman" w:hAnsi="Times New Roman" w:cs="Times New Roman"/>
          <w:sz w:val="24"/>
          <w:szCs w:val="24"/>
          <w:lang w:val="es-ES"/>
        </w:rPr>
        <w:t xml:space="preserve"> y otros instrumentos de captación de valor del suelo para financiar la compra de predios destinados a parques. Es clave para el diagnóstico actual, ya que el municipio reconoce que sin estos instrumentos la ciudad no puede crecer en áreas recreativas.</w:t>
      </w:r>
    </w:p>
    <w:p w:rsidR="0022731E" w:rsidRPr="0022731E" w:rsidRDefault="0022731E" w:rsidP="0022731E">
      <w:pPr>
        <w:spacing w:before="100" w:beforeAutospacing="1" w:after="100" w:afterAutospacing="1" w:line="240" w:lineRule="auto"/>
        <w:outlineLvl w:val="3"/>
        <w:rPr>
          <w:rFonts w:ascii="Times New Roman" w:eastAsia="Times New Roman" w:hAnsi="Times New Roman" w:cs="Times New Roman"/>
          <w:b/>
          <w:bCs/>
          <w:sz w:val="24"/>
          <w:szCs w:val="24"/>
          <w:lang w:val="es-ES"/>
        </w:rPr>
      </w:pPr>
      <w:r w:rsidRPr="0022731E">
        <w:rPr>
          <w:rFonts w:ascii="Times New Roman" w:eastAsia="Times New Roman" w:hAnsi="Times New Roman" w:cs="Times New Roman"/>
          <w:b/>
          <w:bCs/>
          <w:sz w:val="24"/>
          <w:szCs w:val="24"/>
          <w:lang w:val="es-ES"/>
        </w:rPr>
        <w:lastRenderedPageBreak/>
        <w:t>6. Documento: 1.1.2.5. VOL 4C COMPONENTE TÉCNICO RURAL</w:t>
      </w:r>
    </w:p>
    <w:p w:rsidR="0022731E" w:rsidRPr="0022731E" w:rsidRDefault="0022731E" w:rsidP="0022731E">
      <w:pPr>
        <w:numPr>
          <w:ilvl w:val="0"/>
          <w:numId w:val="6"/>
        </w:numPr>
        <w:spacing w:before="100" w:beforeAutospacing="1" w:after="100" w:afterAutospacing="1" w:line="240" w:lineRule="auto"/>
        <w:rPr>
          <w:rFonts w:ascii="Times New Roman" w:eastAsia="Times New Roman" w:hAnsi="Times New Roman" w:cs="Times New Roman"/>
          <w:sz w:val="24"/>
          <w:szCs w:val="24"/>
          <w:lang w:val="es-ES"/>
        </w:rPr>
      </w:pPr>
      <w:r w:rsidRPr="0022731E">
        <w:rPr>
          <w:rFonts w:ascii="Times New Roman" w:eastAsia="Times New Roman" w:hAnsi="Times New Roman" w:cs="Times New Roman"/>
          <w:b/>
          <w:bCs/>
          <w:sz w:val="24"/>
          <w:szCs w:val="24"/>
          <w:lang w:val="es-ES"/>
        </w:rPr>
        <w:t>Relación de Páginas:</w:t>
      </w:r>
      <w:r w:rsidRPr="0022731E">
        <w:rPr>
          <w:rFonts w:ascii="Times New Roman" w:eastAsia="Times New Roman" w:hAnsi="Times New Roman" w:cs="Times New Roman"/>
          <w:sz w:val="24"/>
          <w:szCs w:val="24"/>
          <w:lang w:val="es-ES"/>
        </w:rPr>
        <w:t xml:space="preserve"> Página 53 (Sección 2.4.2.1.2).</w:t>
      </w:r>
    </w:p>
    <w:p w:rsidR="0022731E" w:rsidRPr="0022731E" w:rsidRDefault="0022731E" w:rsidP="0022731E">
      <w:pPr>
        <w:numPr>
          <w:ilvl w:val="0"/>
          <w:numId w:val="6"/>
        </w:numPr>
        <w:spacing w:before="100" w:beforeAutospacing="1" w:after="100" w:afterAutospacing="1" w:line="240" w:lineRule="auto"/>
        <w:rPr>
          <w:rFonts w:ascii="Times New Roman" w:eastAsia="Times New Roman" w:hAnsi="Times New Roman" w:cs="Times New Roman"/>
          <w:sz w:val="24"/>
          <w:szCs w:val="24"/>
          <w:lang w:val="es-ES"/>
        </w:rPr>
      </w:pPr>
      <w:r w:rsidRPr="0022731E">
        <w:rPr>
          <w:rFonts w:ascii="Times New Roman" w:eastAsia="Times New Roman" w:hAnsi="Times New Roman" w:cs="Times New Roman"/>
          <w:b/>
          <w:bCs/>
          <w:sz w:val="24"/>
          <w:szCs w:val="24"/>
          <w:lang w:val="es-ES"/>
        </w:rPr>
        <w:t>Referencia al Espacio Público:</w:t>
      </w:r>
      <w:r w:rsidRPr="0022731E">
        <w:rPr>
          <w:rFonts w:ascii="Times New Roman" w:eastAsia="Times New Roman" w:hAnsi="Times New Roman" w:cs="Times New Roman"/>
          <w:sz w:val="24"/>
          <w:szCs w:val="24"/>
          <w:lang w:val="es-ES"/>
        </w:rPr>
        <w:t xml:space="preserve"> Aunque es rural, define el sistema de espacios públicos para </w:t>
      </w:r>
      <w:r w:rsidRPr="0022731E">
        <w:rPr>
          <w:rFonts w:ascii="Times New Roman" w:eastAsia="Times New Roman" w:hAnsi="Times New Roman" w:cs="Times New Roman"/>
          <w:b/>
          <w:bCs/>
          <w:sz w:val="24"/>
          <w:szCs w:val="24"/>
          <w:lang w:val="es-ES"/>
        </w:rPr>
        <w:t>asentamientos rurales y centros poblados</w:t>
      </w:r>
      <w:r w:rsidRPr="0022731E">
        <w:rPr>
          <w:rFonts w:ascii="Times New Roman" w:eastAsia="Times New Roman" w:hAnsi="Times New Roman" w:cs="Times New Roman"/>
          <w:sz w:val="24"/>
          <w:szCs w:val="24"/>
          <w:lang w:val="es-ES"/>
        </w:rPr>
        <w:t>. Es vital si tu diagnóstico incluye la periferia de Armenia, ya que establece proyectos específicos para que la población rural también tenga acceso a áreas de recreación y encuentro.</w:t>
      </w:r>
    </w:p>
    <w:p w:rsidR="0022731E" w:rsidRPr="0022731E" w:rsidRDefault="0022731E" w:rsidP="0022731E">
      <w:pPr>
        <w:spacing w:before="100" w:beforeAutospacing="1" w:after="100" w:afterAutospacing="1" w:line="240" w:lineRule="auto"/>
        <w:outlineLvl w:val="3"/>
        <w:rPr>
          <w:rFonts w:ascii="Times New Roman" w:eastAsia="Times New Roman" w:hAnsi="Times New Roman" w:cs="Times New Roman"/>
          <w:b/>
          <w:bCs/>
          <w:sz w:val="24"/>
          <w:szCs w:val="24"/>
          <w:lang w:val="es-ES"/>
        </w:rPr>
      </w:pPr>
      <w:r w:rsidRPr="0022731E">
        <w:rPr>
          <w:rFonts w:ascii="Times New Roman" w:eastAsia="Times New Roman" w:hAnsi="Times New Roman" w:cs="Times New Roman"/>
          <w:b/>
          <w:bCs/>
          <w:sz w:val="24"/>
          <w:szCs w:val="24"/>
          <w:lang w:val="es-ES"/>
        </w:rPr>
        <w:t>7. Documento: 1122VO~1.PDF (VOLUMEN 2 - PARTICIPACIÓN CIUDADANA)</w:t>
      </w:r>
    </w:p>
    <w:p w:rsidR="0022731E" w:rsidRPr="0022731E" w:rsidRDefault="0022731E" w:rsidP="0022731E">
      <w:pPr>
        <w:numPr>
          <w:ilvl w:val="0"/>
          <w:numId w:val="7"/>
        </w:numPr>
        <w:spacing w:before="100" w:beforeAutospacing="1" w:after="100" w:afterAutospacing="1" w:line="240" w:lineRule="auto"/>
        <w:rPr>
          <w:rFonts w:ascii="Times New Roman" w:eastAsia="Times New Roman" w:hAnsi="Times New Roman" w:cs="Times New Roman"/>
          <w:sz w:val="24"/>
          <w:szCs w:val="24"/>
          <w:lang w:val="es-ES"/>
        </w:rPr>
      </w:pPr>
      <w:r w:rsidRPr="0022731E">
        <w:rPr>
          <w:rFonts w:ascii="Times New Roman" w:eastAsia="Times New Roman" w:hAnsi="Times New Roman" w:cs="Times New Roman"/>
          <w:b/>
          <w:bCs/>
          <w:sz w:val="24"/>
          <w:szCs w:val="24"/>
          <w:lang w:val="es-ES"/>
        </w:rPr>
        <w:t>Relación de Páginas:</w:t>
      </w:r>
      <w:r w:rsidRPr="0022731E">
        <w:rPr>
          <w:rFonts w:ascii="Times New Roman" w:eastAsia="Times New Roman" w:hAnsi="Times New Roman" w:cs="Times New Roman"/>
          <w:sz w:val="24"/>
          <w:szCs w:val="24"/>
          <w:lang w:val="es-ES"/>
        </w:rPr>
        <w:t xml:space="preserve"> Talleres de prospectiva y percepción ciudadana.</w:t>
      </w:r>
    </w:p>
    <w:p w:rsidR="0022731E" w:rsidRPr="0022731E" w:rsidRDefault="0022731E" w:rsidP="0022731E">
      <w:pPr>
        <w:numPr>
          <w:ilvl w:val="0"/>
          <w:numId w:val="7"/>
        </w:numPr>
        <w:spacing w:before="100" w:beforeAutospacing="1" w:after="100" w:afterAutospacing="1" w:line="240" w:lineRule="auto"/>
        <w:rPr>
          <w:rFonts w:ascii="Times New Roman" w:eastAsia="Times New Roman" w:hAnsi="Times New Roman" w:cs="Times New Roman"/>
          <w:sz w:val="24"/>
          <w:szCs w:val="24"/>
          <w:lang w:val="es-ES"/>
        </w:rPr>
      </w:pPr>
      <w:r w:rsidRPr="0022731E">
        <w:rPr>
          <w:rFonts w:ascii="Times New Roman" w:eastAsia="Times New Roman" w:hAnsi="Times New Roman" w:cs="Times New Roman"/>
          <w:b/>
          <w:bCs/>
          <w:sz w:val="24"/>
          <w:szCs w:val="24"/>
          <w:lang w:val="es-ES"/>
        </w:rPr>
        <w:t>Referencia al Espacio Público:</w:t>
      </w:r>
      <w:r w:rsidRPr="0022731E">
        <w:rPr>
          <w:rFonts w:ascii="Times New Roman" w:eastAsia="Times New Roman" w:hAnsi="Times New Roman" w:cs="Times New Roman"/>
          <w:sz w:val="24"/>
          <w:szCs w:val="24"/>
          <w:lang w:val="es-ES"/>
        </w:rPr>
        <w:t xml:space="preserve"> Recoge la percepción de los habitantes sobre la falta de parques y la inseguridad en las zonas verdes. Para un diagnóstico nuevo, este documento sirve de contraste para ver si las quejas ciudadanas de hace una década (falta de iluminación, invasión de espacio público) siguen siendo las mismas hoy.</w:t>
      </w:r>
    </w:p>
    <w:p w:rsidR="001414AF" w:rsidRPr="001414AF" w:rsidRDefault="001414AF" w:rsidP="001414AF">
      <w:pPr>
        <w:pStyle w:val="Ttulo3"/>
        <w:rPr>
          <w:lang w:val="es-ES"/>
        </w:rPr>
      </w:pPr>
      <w:r w:rsidRPr="001414AF">
        <w:rPr>
          <w:lang w:val="es-ES"/>
        </w:rPr>
        <w:t>REPORTE DE ANÁLISIS: GESTIÓN Y FICHAS NORMATIVAS (CASO POZ CENTENARIO)</w:t>
      </w:r>
    </w:p>
    <w:p w:rsidR="001414AF" w:rsidRPr="001414AF" w:rsidRDefault="001414AF" w:rsidP="001414AF">
      <w:pPr>
        <w:pStyle w:val="Ttulo4"/>
        <w:rPr>
          <w:lang w:val="es-ES"/>
        </w:rPr>
      </w:pPr>
      <w:r w:rsidRPr="001414AF">
        <w:rPr>
          <w:lang w:val="es-ES"/>
        </w:rPr>
        <w:t>1. Documento: 1231DO~1.PDF (NORMA URBANÍSTICA POZ AVENIDA CENTENARIO)</w:t>
      </w:r>
    </w:p>
    <w:p w:rsidR="001414AF" w:rsidRDefault="001414AF" w:rsidP="001414AF">
      <w:pPr>
        <w:pStyle w:val="NormalWeb"/>
        <w:numPr>
          <w:ilvl w:val="0"/>
          <w:numId w:val="8"/>
        </w:numPr>
      </w:pPr>
      <w:proofErr w:type="spellStart"/>
      <w:r>
        <w:rPr>
          <w:b/>
          <w:bCs/>
        </w:rPr>
        <w:t>Relación</w:t>
      </w:r>
      <w:proofErr w:type="spellEnd"/>
      <w:r>
        <w:rPr>
          <w:b/>
          <w:bCs/>
        </w:rPr>
        <w:t xml:space="preserve"> de </w:t>
      </w:r>
      <w:proofErr w:type="spellStart"/>
      <w:r>
        <w:rPr>
          <w:b/>
          <w:bCs/>
        </w:rPr>
        <w:t>Páginas</w:t>
      </w:r>
      <w:proofErr w:type="spellEnd"/>
      <w:r>
        <w:rPr>
          <w:b/>
          <w:bCs/>
        </w:rPr>
        <w:t>:</w:t>
      </w:r>
    </w:p>
    <w:p w:rsidR="001414AF" w:rsidRPr="001414AF" w:rsidRDefault="001414AF" w:rsidP="001414AF">
      <w:pPr>
        <w:pStyle w:val="NormalWeb"/>
        <w:numPr>
          <w:ilvl w:val="1"/>
          <w:numId w:val="8"/>
        </w:numPr>
        <w:rPr>
          <w:lang w:val="es-ES"/>
        </w:rPr>
      </w:pPr>
      <w:r w:rsidRPr="001414AF">
        <w:rPr>
          <w:b/>
          <w:bCs/>
          <w:lang w:val="es-ES"/>
        </w:rPr>
        <w:t>Página 2:</w:t>
      </w:r>
      <w:r w:rsidRPr="001414AF">
        <w:rPr>
          <w:lang w:val="es-ES"/>
        </w:rPr>
        <w:t xml:space="preserve"> Fundamentación jurídica basada en el </w:t>
      </w:r>
      <w:r w:rsidRPr="001414AF">
        <w:rPr>
          <w:b/>
          <w:bCs/>
          <w:lang w:val="es-ES"/>
        </w:rPr>
        <w:t>Artículo 78 del Acuerdo 019 de 2009</w:t>
      </w:r>
      <w:r w:rsidRPr="001414AF">
        <w:rPr>
          <w:lang w:val="es-ES"/>
        </w:rPr>
        <w:t xml:space="preserve"> (Planificación de Escala Intermedia).</w:t>
      </w:r>
    </w:p>
    <w:p w:rsidR="001414AF" w:rsidRPr="001414AF" w:rsidRDefault="001414AF" w:rsidP="001414AF">
      <w:pPr>
        <w:pStyle w:val="NormalWeb"/>
        <w:numPr>
          <w:ilvl w:val="1"/>
          <w:numId w:val="8"/>
        </w:numPr>
        <w:rPr>
          <w:lang w:val="es-ES"/>
        </w:rPr>
      </w:pPr>
      <w:r w:rsidRPr="001414AF">
        <w:rPr>
          <w:b/>
          <w:bCs/>
          <w:lang w:val="es-ES"/>
        </w:rPr>
        <w:t>Página final (Definiciones):</w:t>
      </w:r>
      <w:r w:rsidRPr="001414AF">
        <w:rPr>
          <w:lang w:val="es-ES"/>
        </w:rPr>
        <w:t xml:space="preserve"> Definiciones técnicas de </w:t>
      </w:r>
      <w:r w:rsidRPr="001414AF">
        <w:rPr>
          <w:b/>
          <w:bCs/>
          <w:lang w:val="es-ES"/>
        </w:rPr>
        <w:t>Área Neta Urbanizable</w:t>
      </w:r>
      <w:r w:rsidRPr="001414AF">
        <w:rPr>
          <w:lang w:val="es-ES"/>
        </w:rPr>
        <w:t xml:space="preserve"> y </w:t>
      </w:r>
      <w:r w:rsidRPr="001414AF">
        <w:rPr>
          <w:b/>
          <w:bCs/>
          <w:lang w:val="es-ES"/>
        </w:rPr>
        <w:t>Área Útil</w:t>
      </w:r>
      <w:r w:rsidRPr="001414AF">
        <w:rPr>
          <w:lang w:val="es-ES"/>
        </w:rPr>
        <w:t>.</w:t>
      </w:r>
    </w:p>
    <w:p w:rsidR="001414AF" w:rsidRPr="001414AF" w:rsidRDefault="001414AF" w:rsidP="001414AF">
      <w:pPr>
        <w:pStyle w:val="NormalWeb"/>
        <w:numPr>
          <w:ilvl w:val="0"/>
          <w:numId w:val="8"/>
        </w:numPr>
        <w:rPr>
          <w:lang w:val="es-ES"/>
        </w:rPr>
      </w:pPr>
      <w:r w:rsidRPr="001414AF">
        <w:rPr>
          <w:b/>
          <w:bCs/>
          <w:lang w:val="es-ES"/>
        </w:rPr>
        <w:t>Referencia al Espacio Público:</w:t>
      </w:r>
      <w:r w:rsidRPr="001414AF">
        <w:rPr>
          <w:lang w:val="es-ES"/>
        </w:rPr>
        <w:t xml:space="preserve"> Este documento es clave porque explica que, en zonas de alta importancia paisajística como la Avenida Centenario, el espacio público se define a través de una planificación de "detalle". Define el </w:t>
      </w:r>
      <w:r w:rsidRPr="001414AF">
        <w:rPr>
          <w:b/>
          <w:bCs/>
          <w:lang w:val="es-ES"/>
        </w:rPr>
        <w:t>Sistema Estructurante</w:t>
      </w:r>
      <w:r w:rsidRPr="001414AF">
        <w:rPr>
          <w:lang w:val="es-ES"/>
        </w:rPr>
        <w:t xml:space="preserve"> (punto 9) como el conjunto de infraestructuras que incluyen los "espacios libres destinados para parques y zonas verdes públicas de escala urbana". Es vital para tu diagnóstico señalar que aquí el espacio público se vincula directamente con la </w:t>
      </w:r>
      <w:r w:rsidRPr="001414AF">
        <w:rPr>
          <w:b/>
          <w:bCs/>
          <w:lang w:val="es-ES"/>
        </w:rPr>
        <w:t>conservación del paisaje</w:t>
      </w:r>
      <w:r w:rsidRPr="001414AF">
        <w:rPr>
          <w:lang w:val="es-ES"/>
        </w:rPr>
        <w:t>.</w:t>
      </w:r>
    </w:p>
    <w:p w:rsidR="001414AF" w:rsidRDefault="001414AF" w:rsidP="001414AF">
      <w:pPr>
        <w:pStyle w:val="Ttulo4"/>
      </w:pPr>
      <w:r>
        <w:t xml:space="preserve">2. </w:t>
      </w:r>
      <w:proofErr w:type="spellStart"/>
      <w:r>
        <w:t>Documento</w:t>
      </w:r>
      <w:proofErr w:type="spellEnd"/>
      <w:r>
        <w:t>: 1.2.3.2. FICHAS NORMATIVAS POZ</w:t>
      </w:r>
    </w:p>
    <w:p w:rsidR="001414AF" w:rsidRDefault="001414AF" w:rsidP="001414AF">
      <w:pPr>
        <w:pStyle w:val="NormalWeb"/>
        <w:numPr>
          <w:ilvl w:val="0"/>
          <w:numId w:val="9"/>
        </w:numPr>
      </w:pPr>
      <w:proofErr w:type="spellStart"/>
      <w:r>
        <w:rPr>
          <w:b/>
          <w:bCs/>
        </w:rPr>
        <w:t>Relación</w:t>
      </w:r>
      <w:proofErr w:type="spellEnd"/>
      <w:r>
        <w:rPr>
          <w:b/>
          <w:bCs/>
        </w:rPr>
        <w:t xml:space="preserve"> de </w:t>
      </w:r>
      <w:proofErr w:type="spellStart"/>
      <w:r>
        <w:rPr>
          <w:b/>
          <w:bCs/>
        </w:rPr>
        <w:t>Páginas</w:t>
      </w:r>
      <w:proofErr w:type="spellEnd"/>
      <w:r>
        <w:rPr>
          <w:b/>
          <w:bCs/>
        </w:rPr>
        <w:t>:</w:t>
      </w:r>
    </w:p>
    <w:p w:rsidR="001414AF" w:rsidRPr="001414AF" w:rsidRDefault="001414AF" w:rsidP="001414AF">
      <w:pPr>
        <w:pStyle w:val="NormalWeb"/>
        <w:numPr>
          <w:ilvl w:val="1"/>
          <w:numId w:val="9"/>
        </w:numPr>
        <w:rPr>
          <w:lang w:val="es-ES"/>
        </w:rPr>
      </w:pPr>
      <w:r w:rsidRPr="001414AF">
        <w:rPr>
          <w:b/>
          <w:bCs/>
          <w:lang w:val="es-ES"/>
        </w:rPr>
        <w:t>Página 1 (Ficha Z-1):</w:t>
      </w:r>
      <w:r w:rsidRPr="001414AF">
        <w:rPr>
          <w:lang w:val="es-ES"/>
        </w:rPr>
        <w:t xml:space="preserve"> Edificabilidad y condiciones de ocupación.</w:t>
      </w:r>
    </w:p>
    <w:p w:rsidR="001414AF" w:rsidRPr="001414AF" w:rsidRDefault="001414AF" w:rsidP="001414AF">
      <w:pPr>
        <w:pStyle w:val="NormalWeb"/>
        <w:numPr>
          <w:ilvl w:val="1"/>
          <w:numId w:val="9"/>
        </w:numPr>
        <w:rPr>
          <w:lang w:val="es-ES"/>
        </w:rPr>
      </w:pPr>
      <w:r w:rsidRPr="001414AF">
        <w:rPr>
          <w:b/>
          <w:bCs/>
          <w:lang w:val="es-ES"/>
        </w:rPr>
        <w:t>Página 3 (Ficha Desarrollo):</w:t>
      </w:r>
      <w:r w:rsidRPr="001414AF">
        <w:rPr>
          <w:lang w:val="es-ES"/>
        </w:rPr>
        <w:t xml:space="preserve"> Especificaciones sobre equipamiento comunal y recreativo.</w:t>
      </w:r>
    </w:p>
    <w:p w:rsidR="001414AF" w:rsidRPr="001414AF" w:rsidRDefault="001414AF" w:rsidP="001414AF">
      <w:pPr>
        <w:pStyle w:val="NormalWeb"/>
        <w:numPr>
          <w:ilvl w:val="1"/>
          <w:numId w:val="9"/>
        </w:numPr>
        <w:rPr>
          <w:lang w:val="es-ES"/>
        </w:rPr>
      </w:pPr>
      <w:r w:rsidRPr="001414AF">
        <w:rPr>
          <w:b/>
          <w:bCs/>
          <w:lang w:val="es-ES"/>
        </w:rPr>
        <w:t>Página 4 (Aislamientos y Voladizos):</w:t>
      </w:r>
      <w:r w:rsidRPr="001414AF">
        <w:rPr>
          <w:lang w:val="es-ES"/>
        </w:rPr>
        <w:t xml:space="preserve"> Reglas sobre la "ventana paisajística".</w:t>
      </w:r>
    </w:p>
    <w:p w:rsidR="001414AF" w:rsidRPr="001414AF" w:rsidRDefault="001414AF" w:rsidP="001414AF">
      <w:pPr>
        <w:pStyle w:val="NormalWeb"/>
        <w:numPr>
          <w:ilvl w:val="0"/>
          <w:numId w:val="9"/>
        </w:numPr>
        <w:rPr>
          <w:lang w:val="es-ES"/>
        </w:rPr>
      </w:pPr>
      <w:r w:rsidRPr="001414AF">
        <w:rPr>
          <w:b/>
          <w:bCs/>
          <w:lang w:val="es-ES"/>
        </w:rPr>
        <w:t>Referencia al Espacio Público:</w:t>
      </w:r>
      <w:r w:rsidRPr="001414AF">
        <w:rPr>
          <w:lang w:val="es-ES"/>
        </w:rPr>
        <w:t xml:space="preserve"> Introduce el concepto de </w:t>
      </w:r>
      <w:r w:rsidRPr="001414AF">
        <w:rPr>
          <w:b/>
          <w:bCs/>
          <w:lang w:val="es-ES"/>
        </w:rPr>
        <w:t>"Ventanas Paisajísticas"</w:t>
      </w:r>
      <w:r w:rsidRPr="001414AF">
        <w:rPr>
          <w:lang w:val="es-ES"/>
        </w:rPr>
        <w:t xml:space="preserve">. La ficha Z-1 establece que el índice de ocupación adicional está supeditado a la "construcción, </w:t>
      </w:r>
      <w:proofErr w:type="spellStart"/>
      <w:r w:rsidRPr="001414AF">
        <w:rPr>
          <w:lang w:val="es-ES"/>
        </w:rPr>
        <w:t>amoblamiento</w:t>
      </w:r>
      <w:proofErr w:type="spellEnd"/>
      <w:r w:rsidRPr="001414AF">
        <w:rPr>
          <w:lang w:val="es-ES"/>
        </w:rPr>
        <w:t xml:space="preserve"> y adecuación" de estas franjas para que generen </w:t>
      </w:r>
      <w:r w:rsidRPr="001414AF">
        <w:rPr>
          <w:b/>
          <w:bCs/>
          <w:lang w:val="es-ES"/>
        </w:rPr>
        <w:t>zonas destinadas al uso público</w:t>
      </w:r>
      <w:r w:rsidRPr="001414AF">
        <w:rPr>
          <w:lang w:val="es-ES"/>
        </w:rPr>
        <w:t xml:space="preserve">. Esto es un avance respecto a la norma general, ya que obliga al privado a integrar el espacio público con el disfrute visual del paisaje de la cordillera. </w:t>
      </w:r>
      <w:r w:rsidRPr="001414AF">
        <w:rPr>
          <w:lang w:val="es-ES"/>
        </w:rPr>
        <w:lastRenderedPageBreak/>
        <w:t xml:space="preserve">También especifica que el 20% del área neta debe destinarse como mínimo a </w:t>
      </w:r>
      <w:r w:rsidRPr="001414AF">
        <w:rPr>
          <w:b/>
          <w:bCs/>
          <w:lang w:val="es-ES"/>
        </w:rPr>
        <w:t>zonas recreativas en espacio abierto</w:t>
      </w:r>
      <w:r w:rsidRPr="001414AF">
        <w:rPr>
          <w:lang w:val="es-ES"/>
        </w:rPr>
        <w:t>.</w:t>
      </w:r>
    </w:p>
    <w:p w:rsidR="001414AF" w:rsidRPr="001414AF" w:rsidRDefault="001414AF" w:rsidP="001414AF">
      <w:pPr>
        <w:pStyle w:val="Ttulo4"/>
        <w:rPr>
          <w:lang w:val="es-ES"/>
        </w:rPr>
      </w:pPr>
      <w:r w:rsidRPr="001414AF">
        <w:rPr>
          <w:lang w:val="es-ES"/>
        </w:rPr>
        <w:t>3. Documento: 1212CI~1.PDF (CIRCULAR 002 DE 2023 - LIQUIDACIÓN)</w:t>
      </w:r>
    </w:p>
    <w:p w:rsidR="001414AF" w:rsidRDefault="001414AF" w:rsidP="001414AF">
      <w:pPr>
        <w:pStyle w:val="NormalWeb"/>
        <w:numPr>
          <w:ilvl w:val="0"/>
          <w:numId w:val="10"/>
        </w:numPr>
      </w:pPr>
      <w:proofErr w:type="spellStart"/>
      <w:r>
        <w:rPr>
          <w:b/>
          <w:bCs/>
        </w:rPr>
        <w:t>Relación</w:t>
      </w:r>
      <w:proofErr w:type="spellEnd"/>
      <w:r>
        <w:rPr>
          <w:b/>
          <w:bCs/>
        </w:rPr>
        <w:t xml:space="preserve"> de </w:t>
      </w:r>
      <w:proofErr w:type="spellStart"/>
      <w:r>
        <w:rPr>
          <w:b/>
          <w:bCs/>
        </w:rPr>
        <w:t>Páginas</w:t>
      </w:r>
      <w:proofErr w:type="spellEnd"/>
      <w:r>
        <w:rPr>
          <w:b/>
          <w:bCs/>
        </w:rPr>
        <w:t>:</w:t>
      </w:r>
    </w:p>
    <w:p w:rsidR="001414AF" w:rsidRPr="001414AF" w:rsidRDefault="001414AF" w:rsidP="001414AF">
      <w:pPr>
        <w:pStyle w:val="NormalWeb"/>
        <w:numPr>
          <w:ilvl w:val="1"/>
          <w:numId w:val="10"/>
        </w:numPr>
        <w:rPr>
          <w:lang w:val="es-ES"/>
        </w:rPr>
      </w:pPr>
      <w:r w:rsidRPr="001414AF">
        <w:rPr>
          <w:b/>
          <w:bCs/>
          <w:lang w:val="es-ES"/>
        </w:rPr>
        <w:t>Página 1:</w:t>
      </w:r>
      <w:r w:rsidRPr="001414AF">
        <w:rPr>
          <w:lang w:val="es-ES"/>
        </w:rPr>
        <w:t xml:space="preserve"> Fórmula de liquidación por </w:t>
      </w:r>
      <w:r w:rsidRPr="001414AF">
        <w:rPr>
          <w:b/>
          <w:bCs/>
          <w:lang w:val="es-ES"/>
        </w:rPr>
        <w:t>Compensación en Dinero</w:t>
      </w:r>
      <w:r w:rsidRPr="001414AF">
        <w:rPr>
          <w:lang w:val="es-ES"/>
        </w:rPr>
        <w:t>.</w:t>
      </w:r>
    </w:p>
    <w:p w:rsidR="001414AF" w:rsidRPr="001414AF" w:rsidRDefault="001414AF" w:rsidP="001414AF">
      <w:pPr>
        <w:pStyle w:val="NormalWeb"/>
        <w:numPr>
          <w:ilvl w:val="1"/>
          <w:numId w:val="10"/>
        </w:numPr>
        <w:rPr>
          <w:lang w:val="es-ES"/>
        </w:rPr>
      </w:pPr>
      <w:r w:rsidRPr="001414AF">
        <w:rPr>
          <w:b/>
          <w:bCs/>
          <w:lang w:val="es-ES"/>
        </w:rPr>
        <w:t>Página 6:</w:t>
      </w:r>
      <w:r w:rsidRPr="001414AF">
        <w:rPr>
          <w:lang w:val="es-ES"/>
        </w:rPr>
        <w:t xml:space="preserve"> Certificación bancaria del fondo "POZ AVENIDA CENTENARIO".</w:t>
      </w:r>
    </w:p>
    <w:p w:rsidR="001414AF" w:rsidRPr="001414AF" w:rsidRDefault="001414AF" w:rsidP="001414AF">
      <w:pPr>
        <w:pStyle w:val="NormalWeb"/>
        <w:numPr>
          <w:ilvl w:val="0"/>
          <w:numId w:val="10"/>
        </w:numPr>
        <w:rPr>
          <w:lang w:val="es-ES"/>
        </w:rPr>
      </w:pPr>
      <w:r w:rsidRPr="001414AF">
        <w:rPr>
          <w:b/>
          <w:bCs/>
          <w:lang w:val="es-ES"/>
        </w:rPr>
        <w:t>Referencia al Espacio Público:</w:t>
      </w:r>
      <w:r w:rsidRPr="001414AF">
        <w:rPr>
          <w:lang w:val="es-ES"/>
        </w:rPr>
        <w:t xml:space="preserve"> Este es el documento de gestión financiera. Establece la fórmula </w:t>
      </w:r>
      <w:r w:rsidRPr="001414AF">
        <w:rPr>
          <w:b/>
          <w:bCs/>
          <w:lang w:val="es-ES"/>
        </w:rPr>
        <w:t>PC = ANL x FFCm2</w:t>
      </w:r>
      <w:r w:rsidRPr="001414AF">
        <w:rPr>
          <w:lang w:val="es-ES"/>
        </w:rPr>
        <w:t xml:space="preserve"> (Valor de pago = Área Neta x Factor de $110.000).</w:t>
      </w:r>
    </w:p>
    <w:p w:rsidR="001414AF" w:rsidRPr="001414AF" w:rsidRDefault="001414AF" w:rsidP="001414AF">
      <w:pPr>
        <w:pStyle w:val="NormalWeb"/>
        <w:numPr>
          <w:ilvl w:val="1"/>
          <w:numId w:val="10"/>
        </w:numPr>
        <w:rPr>
          <w:lang w:val="es-ES"/>
        </w:rPr>
      </w:pPr>
      <w:r w:rsidRPr="001414AF">
        <w:rPr>
          <w:lang w:val="es-ES"/>
        </w:rPr>
        <w:t>Para tu diagnóstico, esto es una prueba de que el municipio ha migrado de "pedir tierra" a "pedir dinero" para espacio público. Debes analizar si este recaudo en la cuenta de Davivienda (mencionada en la pág. 6) se ha traducido realmente en la compra de nuevos parques o si el dinero está estancado, lo cual es un hallazgo crítico para el nuevo POT.</w:t>
      </w:r>
    </w:p>
    <w:p w:rsidR="00E14586" w:rsidRPr="00E14586" w:rsidRDefault="00E14586" w:rsidP="00E14586">
      <w:pPr>
        <w:pStyle w:val="Ttulo3"/>
        <w:rPr>
          <w:lang w:val="es-ES"/>
        </w:rPr>
      </w:pPr>
      <w:r w:rsidRPr="00E14586">
        <w:rPr>
          <w:lang w:val="es-ES"/>
        </w:rPr>
        <w:t>REPORTE DE ANÁLISIS: PROPUESTA DE MODIFICACIÓN EXCEPCIONAL 2024</w:t>
      </w:r>
    </w:p>
    <w:p w:rsidR="00E14586" w:rsidRPr="00E14586" w:rsidRDefault="00E14586" w:rsidP="00E14586">
      <w:pPr>
        <w:pStyle w:val="Ttulo4"/>
        <w:rPr>
          <w:lang w:val="es-ES"/>
        </w:rPr>
      </w:pPr>
      <w:r w:rsidRPr="00E14586">
        <w:rPr>
          <w:lang w:val="es-ES"/>
        </w:rPr>
        <w:t>1. Documento: 1.3.3.1 FICHAS NORMATIVAS MODIFICACIÓN EXCEPCIONAL 2024</w:t>
      </w:r>
    </w:p>
    <w:p w:rsidR="00E14586" w:rsidRDefault="00E14586" w:rsidP="00E14586">
      <w:pPr>
        <w:pStyle w:val="NormalWeb"/>
        <w:numPr>
          <w:ilvl w:val="0"/>
          <w:numId w:val="11"/>
        </w:numPr>
      </w:pPr>
      <w:proofErr w:type="spellStart"/>
      <w:r>
        <w:rPr>
          <w:b/>
          <w:bCs/>
        </w:rPr>
        <w:t>Relación</w:t>
      </w:r>
      <w:proofErr w:type="spellEnd"/>
      <w:r>
        <w:rPr>
          <w:b/>
          <w:bCs/>
        </w:rPr>
        <w:t xml:space="preserve"> de </w:t>
      </w:r>
      <w:proofErr w:type="spellStart"/>
      <w:r>
        <w:rPr>
          <w:b/>
          <w:bCs/>
        </w:rPr>
        <w:t>Páginas</w:t>
      </w:r>
      <w:proofErr w:type="spellEnd"/>
      <w:r>
        <w:rPr>
          <w:b/>
          <w:bCs/>
        </w:rPr>
        <w:t>:</w:t>
      </w:r>
    </w:p>
    <w:p w:rsidR="00E14586" w:rsidRPr="00E14586" w:rsidRDefault="00E14586" w:rsidP="00E14586">
      <w:pPr>
        <w:pStyle w:val="NormalWeb"/>
        <w:numPr>
          <w:ilvl w:val="1"/>
          <w:numId w:val="11"/>
        </w:numPr>
        <w:rPr>
          <w:lang w:val="es-ES"/>
        </w:rPr>
      </w:pPr>
      <w:r w:rsidRPr="00E14586">
        <w:rPr>
          <w:b/>
          <w:bCs/>
          <w:lang w:val="es-ES"/>
        </w:rPr>
        <w:t>Página 1:</w:t>
      </w:r>
      <w:r w:rsidRPr="00E14586">
        <w:rPr>
          <w:lang w:val="es-ES"/>
        </w:rPr>
        <w:t xml:space="preserve"> Índice de cuadros generales (Clasificación de usos y mitigación).</w:t>
      </w:r>
    </w:p>
    <w:p w:rsidR="00E14586" w:rsidRPr="00E14586" w:rsidRDefault="00E14586" w:rsidP="00E14586">
      <w:pPr>
        <w:pStyle w:val="NormalWeb"/>
        <w:numPr>
          <w:ilvl w:val="1"/>
          <w:numId w:val="11"/>
        </w:numPr>
        <w:rPr>
          <w:lang w:val="es-ES"/>
        </w:rPr>
      </w:pPr>
      <w:r w:rsidRPr="00E14586">
        <w:rPr>
          <w:b/>
          <w:bCs/>
          <w:lang w:val="es-ES"/>
        </w:rPr>
        <w:t>Página 5:</w:t>
      </w:r>
      <w:r w:rsidRPr="00E14586">
        <w:rPr>
          <w:lang w:val="es-ES"/>
        </w:rPr>
        <w:t xml:space="preserve"> Definiciones de Tipologías de Vivienda (VU, VB, VM).</w:t>
      </w:r>
    </w:p>
    <w:p w:rsidR="00E14586" w:rsidRPr="00E14586" w:rsidRDefault="00E14586" w:rsidP="00E14586">
      <w:pPr>
        <w:pStyle w:val="NormalWeb"/>
        <w:numPr>
          <w:ilvl w:val="1"/>
          <w:numId w:val="11"/>
        </w:numPr>
        <w:rPr>
          <w:lang w:val="es-ES"/>
        </w:rPr>
      </w:pPr>
      <w:r w:rsidRPr="00E14586">
        <w:rPr>
          <w:b/>
          <w:bCs/>
          <w:lang w:val="es-ES"/>
        </w:rPr>
        <w:t>Página final:</w:t>
      </w:r>
      <w:r w:rsidRPr="00E14586">
        <w:rPr>
          <w:lang w:val="es-ES"/>
        </w:rPr>
        <w:t xml:space="preserve"> Clasificación detallada de usos comerciales y de servicios (C6, C7, S1, etc.).</w:t>
      </w:r>
    </w:p>
    <w:p w:rsidR="00E14586" w:rsidRPr="00E14586" w:rsidRDefault="00E14586" w:rsidP="00E14586">
      <w:pPr>
        <w:pStyle w:val="NormalWeb"/>
        <w:numPr>
          <w:ilvl w:val="0"/>
          <w:numId w:val="11"/>
        </w:numPr>
        <w:rPr>
          <w:lang w:val="es-ES"/>
        </w:rPr>
      </w:pPr>
      <w:r w:rsidRPr="00E14586">
        <w:rPr>
          <w:b/>
          <w:bCs/>
          <w:lang w:val="es-ES"/>
        </w:rPr>
        <w:t>Referencia al Espacio Público:</w:t>
      </w:r>
      <w:r w:rsidRPr="00E14586">
        <w:rPr>
          <w:lang w:val="es-ES"/>
        </w:rPr>
        <w:t xml:space="preserve"> Este documento introduce una estructura mucho más granular para el espacio público. En el </w:t>
      </w:r>
      <w:r w:rsidRPr="00E14586">
        <w:rPr>
          <w:b/>
          <w:bCs/>
          <w:lang w:val="es-ES"/>
        </w:rPr>
        <w:t>Cuadro N°3 (Pág. 1)</w:t>
      </w:r>
      <w:r w:rsidRPr="00E14586">
        <w:rPr>
          <w:lang w:val="es-ES"/>
        </w:rPr>
        <w:t xml:space="preserve"> sobre "Mitigación de impactos", se establecen las exigencias que deben cumplir los nuevos comercios y servicios respecto al espacio público circundante (andenes, accesos y zonas de carga). Además, la clasificación de </w:t>
      </w:r>
      <w:r w:rsidRPr="00E14586">
        <w:rPr>
          <w:b/>
          <w:bCs/>
          <w:lang w:val="es-ES"/>
        </w:rPr>
        <w:t>"Tiendas de proximidad" (C7)</w:t>
      </w:r>
      <w:r w:rsidRPr="00E14586">
        <w:rPr>
          <w:lang w:val="es-ES"/>
        </w:rPr>
        <w:t xml:space="preserve"> y </w:t>
      </w:r>
      <w:r w:rsidRPr="00E14586">
        <w:rPr>
          <w:b/>
          <w:bCs/>
          <w:lang w:val="es-ES"/>
        </w:rPr>
        <w:t>"Servicios de proximidad" (S1)</w:t>
      </w:r>
      <w:r w:rsidRPr="00E14586">
        <w:rPr>
          <w:lang w:val="es-ES"/>
        </w:rPr>
        <w:t xml:space="preserve"> sugiere un modelo de ciudad de 15 minutos, donde el espacio público debe estar distribuido a escala local y no solo en grandes parques zonales.</w:t>
      </w:r>
    </w:p>
    <w:p w:rsidR="00E14586" w:rsidRPr="00E14586" w:rsidRDefault="00E14586" w:rsidP="00E14586">
      <w:pPr>
        <w:pStyle w:val="Ttulo4"/>
        <w:rPr>
          <w:lang w:val="es-ES"/>
        </w:rPr>
      </w:pPr>
      <w:r w:rsidRPr="00E14586">
        <w:rPr>
          <w:lang w:val="es-ES"/>
        </w:rPr>
        <w:t>2. Documento: 1342ME~1.PDF (MEMORIA JUSTIFICATIVA - ACTUALIZADA 2023/2024)</w:t>
      </w:r>
    </w:p>
    <w:p w:rsidR="00E14586" w:rsidRDefault="00E14586" w:rsidP="00E14586">
      <w:pPr>
        <w:pStyle w:val="NormalWeb"/>
        <w:numPr>
          <w:ilvl w:val="0"/>
          <w:numId w:val="12"/>
        </w:numPr>
      </w:pPr>
      <w:proofErr w:type="spellStart"/>
      <w:r>
        <w:rPr>
          <w:b/>
          <w:bCs/>
        </w:rPr>
        <w:t>Relación</w:t>
      </w:r>
      <w:proofErr w:type="spellEnd"/>
      <w:r>
        <w:rPr>
          <w:b/>
          <w:bCs/>
        </w:rPr>
        <w:t xml:space="preserve"> de </w:t>
      </w:r>
      <w:proofErr w:type="spellStart"/>
      <w:r>
        <w:rPr>
          <w:b/>
          <w:bCs/>
        </w:rPr>
        <w:t>Páginas</w:t>
      </w:r>
      <w:proofErr w:type="spellEnd"/>
      <w:r>
        <w:rPr>
          <w:b/>
          <w:bCs/>
        </w:rPr>
        <w:t>:</w:t>
      </w:r>
    </w:p>
    <w:p w:rsidR="00E14586" w:rsidRPr="00E14586" w:rsidRDefault="00E14586" w:rsidP="00E14586">
      <w:pPr>
        <w:pStyle w:val="NormalWeb"/>
        <w:numPr>
          <w:ilvl w:val="1"/>
          <w:numId w:val="12"/>
        </w:numPr>
        <w:rPr>
          <w:lang w:val="es-ES"/>
        </w:rPr>
      </w:pPr>
      <w:r w:rsidRPr="00E14586">
        <w:rPr>
          <w:b/>
          <w:bCs/>
          <w:lang w:val="es-ES"/>
        </w:rPr>
        <w:t>Página 3:</w:t>
      </w:r>
      <w:r w:rsidRPr="00E14586">
        <w:rPr>
          <w:lang w:val="es-ES"/>
        </w:rPr>
        <w:t xml:space="preserve"> Introducción y base legal (Ley 388 de 1997 y Decreto 1232 de 2020).</w:t>
      </w:r>
    </w:p>
    <w:p w:rsidR="00E14586" w:rsidRPr="00E14586" w:rsidRDefault="00E14586" w:rsidP="00E14586">
      <w:pPr>
        <w:pStyle w:val="NormalWeb"/>
        <w:numPr>
          <w:ilvl w:val="1"/>
          <w:numId w:val="12"/>
        </w:numPr>
        <w:rPr>
          <w:lang w:val="es-ES"/>
        </w:rPr>
      </w:pPr>
      <w:r w:rsidRPr="00E14586">
        <w:rPr>
          <w:b/>
          <w:bCs/>
          <w:lang w:val="es-ES"/>
        </w:rPr>
        <w:t>Página 4:</w:t>
      </w:r>
      <w:r w:rsidRPr="00E14586">
        <w:rPr>
          <w:lang w:val="es-ES"/>
        </w:rPr>
        <w:t xml:space="preserve"> Justificación de la "no articulación de realidades territoriales".</w:t>
      </w:r>
    </w:p>
    <w:p w:rsidR="00E14586" w:rsidRPr="00E14586" w:rsidRDefault="00E14586" w:rsidP="00E14586">
      <w:pPr>
        <w:pStyle w:val="NormalWeb"/>
        <w:numPr>
          <w:ilvl w:val="1"/>
          <w:numId w:val="12"/>
        </w:numPr>
        <w:rPr>
          <w:lang w:val="es-ES"/>
        </w:rPr>
      </w:pPr>
      <w:r w:rsidRPr="00E14586">
        <w:rPr>
          <w:b/>
          <w:bCs/>
          <w:lang w:val="es-ES"/>
        </w:rPr>
        <w:t>Página final:</w:t>
      </w:r>
      <w:r w:rsidRPr="00E14586">
        <w:rPr>
          <w:lang w:val="es-ES"/>
        </w:rPr>
        <w:t xml:space="preserve"> Cronograma de vigencias (Corto, Mediano y Largo Plazo).</w:t>
      </w:r>
    </w:p>
    <w:p w:rsidR="00E14586" w:rsidRPr="00E14586" w:rsidRDefault="00E14586" w:rsidP="00E14586">
      <w:pPr>
        <w:pStyle w:val="NormalWeb"/>
        <w:numPr>
          <w:ilvl w:val="0"/>
          <w:numId w:val="12"/>
        </w:numPr>
        <w:rPr>
          <w:lang w:val="es-ES"/>
        </w:rPr>
      </w:pPr>
      <w:r w:rsidRPr="00E14586">
        <w:rPr>
          <w:b/>
          <w:bCs/>
          <w:lang w:val="es-ES"/>
        </w:rPr>
        <w:t>Referencia al Espacio Público:</w:t>
      </w:r>
      <w:r w:rsidRPr="00E14586">
        <w:rPr>
          <w:lang w:val="es-ES"/>
        </w:rPr>
        <w:t xml:space="preserve"> Es el argumento político-técnico para el cambio. Reconoce que el POT de 2009 quedó </w:t>
      </w:r>
      <w:r w:rsidRPr="00E14586">
        <w:rPr>
          <w:b/>
          <w:bCs/>
          <w:lang w:val="es-ES"/>
        </w:rPr>
        <w:t>rezagado</w:t>
      </w:r>
      <w:r w:rsidRPr="00E14586">
        <w:rPr>
          <w:lang w:val="es-ES"/>
        </w:rPr>
        <w:t xml:space="preserve"> (Pág. 4) y que la norma permaneció </w:t>
      </w:r>
      <w:r w:rsidRPr="00E14586">
        <w:rPr>
          <w:b/>
          <w:bCs/>
          <w:lang w:val="es-ES"/>
        </w:rPr>
        <w:t>"incólume"</w:t>
      </w:r>
      <w:r w:rsidRPr="00E14586">
        <w:rPr>
          <w:lang w:val="es-ES"/>
        </w:rPr>
        <w:t xml:space="preserve"> mientras la ciudad cambiaba. Para tu diagnóstico, esta memoria justifica la creación de </w:t>
      </w:r>
      <w:r w:rsidRPr="00E14586">
        <w:rPr>
          <w:b/>
          <w:bCs/>
          <w:lang w:val="es-ES"/>
        </w:rPr>
        <w:t>nuevos estándares de espacio público</w:t>
      </w:r>
      <w:r w:rsidRPr="00E14586">
        <w:rPr>
          <w:lang w:val="es-ES"/>
        </w:rPr>
        <w:t xml:space="preserve"> que sean coherentes con el crecimiento vertical de Armenia, algo que el Acuerdo 019 no manejaba con precisión.</w:t>
      </w:r>
    </w:p>
    <w:p w:rsidR="00E14586" w:rsidRPr="00E14586" w:rsidRDefault="00E14586" w:rsidP="00E14586">
      <w:pPr>
        <w:pStyle w:val="Ttulo4"/>
        <w:rPr>
          <w:lang w:val="es-ES"/>
        </w:rPr>
      </w:pPr>
      <w:r w:rsidRPr="00E14586">
        <w:rPr>
          <w:lang w:val="es-ES"/>
        </w:rPr>
        <w:lastRenderedPageBreak/>
        <w:t>3. Documento: 1312ME~1.PDF (DUPLICADO DE MEMORIA JUSTIFICATIVA)</w:t>
      </w:r>
    </w:p>
    <w:p w:rsidR="00E14586" w:rsidRPr="00E14586" w:rsidRDefault="00E14586" w:rsidP="00E14586">
      <w:pPr>
        <w:pStyle w:val="NormalWeb"/>
        <w:numPr>
          <w:ilvl w:val="0"/>
          <w:numId w:val="13"/>
        </w:numPr>
        <w:rPr>
          <w:lang w:val="es-ES"/>
        </w:rPr>
      </w:pPr>
      <w:r w:rsidRPr="00E14586">
        <w:rPr>
          <w:b/>
          <w:bCs/>
          <w:lang w:val="es-ES"/>
        </w:rPr>
        <w:t>Relación de Páginas:</w:t>
      </w:r>
      <w:r w:rsidRPr="00E14586">
        <w:rPr>
          <w:lang w:val="es-ES"/>
        </w:rPr>
        <w:t xml:space="preserve"> Contenido idéntico al anterior (Págs. 1-4).</w:t>
      </w:r>
    </w:p>
    <w:p w:rsidR="00E14586" w:rsidRPr="00E14586" w:rsidRDefault="00E14586" w:rsidP="00E14586">
      <w:pPr>
        <w:pStyle w:val="NormalWeb"/>
        <w:numPr>
          <w:ilvl w:val="0"/>
          <w:numId w:val="13"/>
        </w:numPr>
        <w:rPr>
          <w:lang w:val="es-ES"/>
        </w:rPr>
      </w:pPr>
      <w:r w:rsidRPr="00E14586">
        <w:rPr>
          <w:b/>
          <w:bCs/>
          <w:lang w:val="es-ES"/>
        </w:rPr>
        <w:t>Referencia al Espacio Público:</w:t>
      </w:r>
      <w:r w:rsidRPr="00E14586">
        <w:rPr>
          <w:lang w:val="es-ES"/>
        </w:rPr>
        <w:t xml:space="preserve"> Refuerza la necesidad de la </w:t>
      </w:r>
      <w:r w:rsidRPr="00E14586">
        <w:rPr>
          <w:b/>
          <w:bCs/>
          <w:lang w:val="es-ES"/>
        </w:rPr>
        <w:t>Modificación Excepcional</w:t>
      </w:r>
      <w:r w:rsidRPr="00E14586">
        <w:rPr>
          <w:lang w:val="es-ES"/>
        </w:rPr>
        <w:t>. Cita explícitamente que la falta de actualización ha influido negativamente en el cumplimiento de las metas de espacio público. Es la base para decir: "como el modelo anterior no funcionó, necesitamos estas nuevas fichas normativas".</w:t>
      </w:r>
    </w:p>
    <w:p w:rsidR="00E14586" w:rsidRPr="00E14586" w:rsidRDefault="00E14586" w:rsidP="00E14586">
      <w:pPr>
        <w:pStyle w:val="Ttulo4"/>
        <w:rPr>
          <w:lang w:val="es-ES"/>
        </w:rPr>
      </w:pPr>
      <w:r w:rsidRPr="00E14586">
        <w:rPr>
          <w:lang w:val="es-ES"/>
        </w:rPr>
        <w:t>4. Documento: 1314SE~1.PDF (SEGUIMIENTO Y EVALUACIÓN - REVISIÓN)</w:t>
      </w:r>
    </w:p>
    <w:p w:rsidR="00E14586" w:rsidRDefault="00E14586" w:rsidP="00E14586">
      <w:pPr>
        <w:pStyle w:val="NormalWeb"/>
        <w:numPr>
          <w:ilvl w:val="0"/>
          <w:numId w:val="14"/>
        </w:numPr>
      </w:pPr>
      <w:proofErr w:type="spellStart"/>
      <w:r>
        <w:rPr>
          <w:b/>
          <w:bCs/>
        </w:rPr>
        <w:t>Relación</w:t>
      </w:r>
      <w:proofErr w:type="spellEnd"/>
      <w:r>
        <w:rPr>
          <w:b/>
          <w:bCs/>
        </w:rPr>
        <w:t xml:space="preserve"> de </w:t>
      </w:r>
      <w:proofErr w:type="spellStart"/>
      <w:r>
        <w:rPr>
          <w:b/>
          <w:bCs/>
        </w:rPr>
        <w:t>Páginas</w:t>
      </w:r>
      <w:proofErr w:type="spellEnd"/>
      <w:r>
        <w:rPr>
          <w:b/>
          <w:bCs/>
        </w:rPr>
        <w:t>:</w:t>
      </w:r>
    </w:p>
    <w:p w:rsidR="00E14586" w:rsidRPr="00E14586" w:rsidRDefault="00E14586" w:rsidP="00E14586">
      <w:pPr>
        <w:pStyle w:val="NormalWeb"/>
        <w:numPr>
          <w:ilvl w:val="1"/>
          <w:numId w:val="14"/>
        </w:numPr>
        <w:rPr>
          <w:lang w:val="es-ES"/>
        </w:rPr>
      </w:pPr>
      <w:r w:rsidRPr="00E14586">
        <w:rPr>
          <w:b/>
          <w:bCs/>
          <w:lang w:val="es-ES"/>
        </w:rPr>
        <w:t>Página 3:</w:t>
      </w:r>
      <w:r w:rsidRPr="00E14586">
        <w:rPr>
          <w:lang w:val="es-ES"/>
        </w:rPr>
        <w:t xml:space="preserve"> Aspectos metodológicos y análisis de suficiencia.</w:t>
      </w:r>
    </w:p>
    <w:p w:rsidR="00E14586" w:rsidRPr="00E14586" w:rsidRDefault="00E14586" w:rsidP="00E14586">
      <w:pPr>
        <w:pStyle w:val="NormalWeb"/>
        <w:numPr>
          <w:ilvl w:val="1"/>
          <w:numId w:val="14"/>
        </w:numPr>
        <w:rPr>
          <w:lang w:val="es-ES"/>
        </w:rPr>
      </w:pPr>
      <w:r w:rsidRPr="00E14586">
        <w:rPr>
          <w:b/>
          <w:bCs/>
          <w:lang w:val="es-ES"/>
        </w:rPr>
        <w:t>Página 116:</w:t>
      </w:r>
      <w:r w:rsidRPr="00E14586">
        <w:rPr>
          <w:lang w:val="es-ES"/>
        </w:rPr>
        <w:t xml:space="preserve"> Resultados estratégicos y </w:t>
      </w:r>
      <w:r w:rsidRPr="00E14586">
        <w:rPr>
          <w:b/>
          <w:bCs/>
          <w:lang w:val="es-ES"/>
        </w:rPr>
        <w:t>Déficit Cualitativo</w:t>
      </w:r>
      <w:r w:rsidRPr="00E14586">
        <w:rPr>
          <w:lang w:val="es-ES"/>
        </w:rPr>
        <w:t>.</w:t>
      </w:r>
    </w:p>
    <w:p w:rsidR="00E14586" w:rsidRPr="00E14586" w:rsidRDefault="00E14586" w:rsidP="00E14586">
      <w:pPr>
        <w:pStyle w:val="NormalWeb"/>
        <w:numPr>
          <w:ilvl w:val="0"/>
          <w:numId w:val="14"/>
        </w:numPr>
        <w:rPr>
          <w:lang w:val="es-ES"/>
        </w:rPr>
      </w:pPr>
      <w:r w:rsidRPr="00E14586">
        <w:rPr>
          <w:b/>
          <w:bCs/>
          <w:lang w:val="es-ES"/>
        </w:rPr>
        <w:t>Referencia al Espacio Público:</w:t>
      </w:r>
      <w:r w:rsidRPr="00E14586">
        <w:rPr>
          <w:lang w:val="es-ES"/>
        </w:rPr>
        <w:t xml:space="preserve"> Es el soporte del diagnóstico. En la </w:t>
      </w:r>
      <w:r w:rsidRPr="00E14586">
        <w:rPr>
          <w:b/>
          <w:bCs/>
          <w:lang w:val="es-ES"/>
        </w:rPr>
        <w:t>Página 116</w:t>
      </w:r>
      <w:r w:rsidRPr="00E14586">
        <w:rPr>
          <w:lang w:val="es-ES"/>
        </w:rPr>
        <w:t xml:space="preserve">, admite que existen </w:t>
      </w:r>
      <w:r w:rsidRPr="00E14586">
        <w:rPr>
          <w:b/>
          <w:bCs/>
          <w:lang w:val="es-ES"/>
        </w:rPr>
        <w:t>conflictos de usos del suelo</w:t>
      </w:r>
      <w:r w:rsidRPr="00E14586">
        <w:rPr>
          <w:lang w:val="es-ES"/>
        </w:rPr>
        <w:t xml:space="preserve"> y que la infraestructura de servicios públicos está invadiendo </w:t>
      </w:r>
      <w:r w:rsidRPr="00E14586">
        <w:rPr>
          <w:b/>
          <w:bCs/>
          <w:lang w:val="es-ES"/>
        </w:rPr>
        <w:t>suelos de protección</w:t>
      </w:r>
      <w:r w:rsidRPr="00E14586">
        <w:rPr>
          <w:lang w:val="es-ES"/>
        </w:rPr>
        <w:t xml:space="preserve"> (cañadas). Este documento es la prueba reina para tu diagnóstico: el espacio público actual de Armenia está en riesgo ambiental y requiere una intervención urgente de "mejoramiento de zonas degradadas".</w:t>
      </w:r>
    </w:p>
    <w:p w:rsidR="00E349CA" w:rsidRPr="00E349CA" w:rsidRDefault="00E349CA" w:rsidP="00E349CA">
      <w:pPr>
        <w:pStyle w:val="Ttulo3"/>
        <w:rPr>
          <w:lang w:val="es-ES"/>
        </w:rPr>
      </w:pPr>
      <w:r w:rsidRPr="00E349CA">
        <w:rPr>
          <w:lang w:val="es-ES"/>
        </w:rPr>
        <w:t>REPORTE DE ANÁLISIS: SEGUIMIENTO Y EVALUACIÓN FINAL (OCTUBRE 2023)</w:t>
      </w:r>
    </w:p>
    <w:p w:rsidR="00E349CA" w:rsidRPr="00E349CA" w:rsidRDefault="00E349CA" w:rsidP="00E349CA">
      <w:pPr>
        <w:pStyle w:val="Ttulo4"/>
        <w:rPr>
          <w:lang w:val="es-ES"/>
        </w:rPr>
      </w:pPr>
      <w:r w:rsidRPr="00E349CA">
        <w:rPr>
          <w:lang w:val="es-ES"/>
        </w:rPr>
        <w:t>1. Documento: 161SEG~1.PDF (SEGUIMIENTO Y EVALUACIÓN - MODIFICACIÓN EXCEPCIONAL)</w:t>
      </w:r>
    </w:p>
    <w:p w:rsidR="00E349CA" w:rsidRDefault="00E349CA" w:rsidP="00E349CA">
      <w:pPr>
        <w:pStyle w:val="NormalWeb"/>
        <w:numPr>
          <w:ilvl w:val="0"/>
          <w:numId w:val="15"/>
        </w:numPr>
      </w:pPr>
      <w:proofErr w:type="spellStart"/>
      <w:r>
        <w:rPr>
          <w:b/>
          <w:bCs/>
        </w:rPr>
        <w:t>Relación</w:t>
      </w:r>
      <w:proofErr w:type="spellEnd"/>
      <w:r>
        <w:rPr>
          <w:b/>
          <w:bCs/>
        </w:rPr>
        <w:t xml:space="preserve"> de </w:t>
      </w:r>
      <w:proofErr w:type="spellStart"/>
      <w:r>
        <w:rPr>
          <w:b/>
          <w:bCs/>
        </w:rPr>
        <w:t>Páginas</w:t>
      </w:r>
      <w:proofErr w:type="spellEnd"/>
      <w:r>
        <w:rPr>
          <w:b/>
          <w:bCs/>
        </w:rPr>
        <w:t>:</w:t>
      </w:r>
    </w:p>
    <w:p w:rsidR="00E349CA" w:rsidRPr="00E349CA" w:rsidRDefault="00E349CA" w:rsidP="00E349CA">
      <w:pPr>
        <w:pStyle w:val="NormalWeb"/>
        <w:numPr>
          <w:ilvl w:val="1"/>
          <w:numId w:val="15"/>
        </w:numPr>
        <w:rPr>
          <w:lang w:val="es-ES"/>
        </w:rPr>
      </w:pPr>
      <w:r w:rsidRPr="00E349CA">
        <w:rPr>
          <w:b/>
          <w:bCs/>
          <w:lang w:val="es-ES"/>
        </w:rPr>
        <w:t>Página 13:</w:t>
      </w:r>
      <w:r w:rsidRPr="00E349CA">
        <w:rPr>
          <w:lang w:val="es-ES"/>
        </w:rPr>
        <w:t xml:space="preserve"> Metodología del análisis de suficiencia del POT.</w:t>
      </w:r>
    </w:p>
    <w:p w:rsidR="00E349CA" w:rsidRPr="00E349CA" w:rsidRDefault="00E349CA" w:rsidP="00E349CA">
      <w:pPr>
        <w:pStyle w:val="NormalWeb"/>
        <w:numPr>
          <w:ilvl w:val="1"/>
          <w:numId w:val="15"/>
        </w:numPr>
        <w:rPr>
          <w:lang w:val="es-ES"/>
        </w:rPr>
      </w:pPr>
      <w:r w:rsidRPr="00E349CA">
        <w:rPr>
          <w:b/>
          <w:bCs/>
          <w:lang w:val="es-ES"/>
        </w:rPr>
        <w:t>Páginas 19-25:</w:t>
      </w:r>
      <w:r w:rsidRPr="00E349CA">
        <w:rPr>
          <w:lang w:val="es-ES"/>
        </w:rPr>
        <w:t xml:space="preserve"> Evaluación del </w:t>
      </w:r>
      <w:r w:rsidRPr="00E349CA">
        <w:rPr>
          <w:b/>
          <w:bCs/>
          <w:lang w:val="es-ES"/>
        </w:rPr>
        <w:t>Componente Urbano</w:t>
      </w:r>
      <w:r w:rsidRPr="00E349CA">
        <w:rPr>
          <w:lang w:val="es-ES"/>
        </w:rPr>
        <w:t xml:space="preserve"> (donde se mide el espacio público).</w:t>
      </w:r>
    </w:p>
    <w:p w:rsidR="00E349CA" w:rsidRPr="00E349CA" w:rsidRDefault="00E349CA" w:rsidP="00E349CA">
      <w:pPr>
        <w:pStyle w:val="NormalWeb"/>
        <w:numPr>
          <w:ilvl w:val="1"/>
          <w:numId w:val="15"/>
        </w:numPr>
        <w:rPr>
          <w:lang w:val="es-ES"/>
        </w:rPr>
      </w:pPr>
      <w:r w:rsidRPr="00E349CA">
        <w:rPr>
          <w:b/>
          <w:bCs/>
          <w:lang w:val="es-ES"/>
        </w:rPr>
        <w:t>Página 116:</w:t>
      </w:r>
      <w:r w:rsidRPr="00E349CA">
        <w:rPr>
          <w:lang w:val="es-ES"/>
        </w:rPr>
        <w:t xml:space="preserve"> Conclusiones estratégicas sobre el </w:t>
      </w:r>
      <w:r w:rsidRPr="00E349CA">
        <w:rPr>
          <w:b/>
          <w:bCs/>
          <w:lang w:val="es-ES"/>
        </w:rPr>
        <w:t>Déficit Cualitativo</w:t>
      </w:r>
      <w:r w:rsidRPr="00E349CA">
        <w:rPr>
          <w:lang w:val="es-ES"/>
        </w:rPr>
        <w:t xml:space="preserve"> y servicios públicos.</w:t>
      </w:r>
    </w:p>
    <w:p w:rsidR="00E349CA" w:rsidRPr="00E349CA" w:rsidRDefault="00E349CA" w:rsidP="00E349CA">
      <w:pPr>
        <w:pStyle w:val="NormalWeb"/>
        <w:numPr>
          <w:ilvl w:val="0"/>
          <w:numId w:val="15"/>
        </w:numPr>
        <w:rPr>
          <w:lang w:val="es-ES"/>
        </w:rPr>
      </w:pPr>
      <w:r w:rsidRPr="00E349CA">
        <w:rPr>
          <w:b/>
          <w:bCs/>
          <w:lang w:val="es-ES"/>
        </w:rPr>
        <w:t>Referencia al Espacio Público:</w:t>
      </w:r>
      <w:r w:rsidRPr="00E349CA">
        <w:rPr>
          <w:lang w:val="es-ES"/>
        </w:rPr>
        <w:t xml:space="preserve"> * El documento arroja una conclusión contundente: existe una </w:t>
      </w:r>
      <w:r w:rsidRPr="00E349CA">
        <w:rPr>
          <w:b/>
          <w:bCs/>
          <w:lang w:val="es-ES"/>
        </w:rPr>
        <w:t>"no articulación de realidades territoriales"</w:t>
      </w:r>
      <w:r w:rsidRPr="00E349CA">
        <w:rPr>
          <w:lang w:val="es-ES"/>
        </w:rPr>
        <w:t>.</w:t>
      </w:r>
    </w:p>
    <w:p w:rsidR="00E349CA" w:rsidRPr="00E349CA" w:rsidRDefault="00E349CA" w:rsidP="00E349CA">
      <w:pPr>
        <w:pStyle w:val="NormalWeb"/>
        <w:numPr>
          <w:ilvl w:val="1"/>
          <w:numId w:val="15"/>
        </w:numPr>
        <w:rPr>
          <w:lang w:val="es-ES"/>
        </w:rPr>
      </w:pPr>
      <w:r w:rsidRPr="00E349CA">
        <w:rPr>
          <w:lang w:val="es-ES"/>
        </w:rPr>
        <w:t xml:space="preserve">En la </w:t>
      </w:r>
      <w:r w:rsidRPr="00E349CA">
        <w:rPr>
          <w:b/>
          <w:bCs/>
          <w:lang w:val="es-ES"/>
        </w:rPr>
        <w:t>Página 116 (Punto 5)</w:t>
      </w:r>
      <w:r w:rsidRPr="00E349CA">
        <w:rPr>
          <w:lang w:val="es-ES"/>
        </w:rPr>
        <w:t xml:space="preserve">, identifica explícitamente la necesidad de políticas para el </w:t>
      </w:r>
      <w:r w:rsidRPr="00E349CA">
        <w:rPr>
          <w:b/>
          <w:bCs/>
          <w:lang w:val="es-ES"/>
        </w:rPr>
        <w:t>mejoramiento de zonas degradadas</w:t>
      </w:r>
      <w:r w:rsidRPr="00E349CA">
        <w:rPr>
          <w:lang w:val="es-ES"/>
        </w:rPr>
        <w:t xml:space="preserve">, reconociendo que el déficit de espacio público en Armenia no es solo de cantidad (cuadrados de cemento o pasto), sino de </w:t>
      </w:r>
      <w:r w:rsidRPr="00E349CA">
        <w:rPr>
          <w:b/>
          <w:bCs/>
          <w:lang w:val="es-ES"/>
        </w:rPr>
        <w:t>calidad</w:t>
      </w:r>
      <w:r w:rsidRPr="00E349CA">
        <w:rPr>
          <w:lang w:val="es-ES"/>
        </w:rPr>
        <w:t xml:space="preserve"> (seguridad, iluminación, </w:t>
      </w:r>
      <w:proofErr w:type="spellStart"/>
      <w:r w:rsidRPr="00E349CA">
        <w:rPr>
          <w:lang w:val="es-ES"/>
        </w:rPr>
        <w:t>amoblamiento</w:t>
      </w:r>
      <w:proofErr w:type="spellEnd"/>
      <w:r w:rsidRPr="00E349CA">
        <w:rPr>
          <w:lang w:val="es-ES"/>
        </w:rPr>
        <w:t>).</w:t>
      </w:r>
    </w:p>
    <w:p w:rsidR="00E349CA" w:rsidRPr="00E349CA" w:rsidRDefault="00E349CA" w:rsidP="00E349CA">
      <w:pPr>
        <w:pStyle w:val="NormalWeb"/>
        <w:numPr>
          <w:ilvl w:val="1"/>
          <w:numId w:val="15"/>
        </w:numPr>
        <w:rPr>
          <w:lang w:val="es-ES"/>
        </w:rPr>
      </w:pPr>
      <w:r w:rsidRPr="00E349CA">
        <w:rPr>
          <w:lang w:val="es-ES"/>
        </w:rPr>
        <w:t xml:space="preserve">Menciona un problema crítico: la </w:t>
      </w:r>
      <w:r w:rsidRPr="00E349CA">
        <w:rPr>
          <w:b/>
          <w:bCs/>
          <w:lang w:val="es-ES"/>
        </w:rPr>
        <w:t>infraestructura de servicios públicos</w:t>
      </w:r>
      <w:r w:rsidRPr="00E349CA">
        <w:rPr>
          <w:lang w:val="es-ES"/>
        </w:rPr>
        <w:t xml:space="preserve"> está ocupando suelos de protección (cañadas), lo que limita su uso como corredores ambientales y recreativos para la ciudadanía.</w:t>
      </w:r>
    </w:p>
    <w:tbl>
      <w:tblPr>
        <w:tblW w:w="0" w:type="auto"/>
        <w:tblCellSpacing w:w="15" w:type="dxa"/>
        <w:tblCellMar>
          <w:left w:w="0" w:type="dxa"/>
          <w:right w:w="0" w:type="dxa"/>
        </w:tblCellMar>
        <w:tblLook w:val="04A0" w:firstRow="1" w:lastRow="0" w:firstColumn="1" w:lastColumn="0" w:noHBand="0" w:noVBand="1"/>
      </w:tblPr>
      <w:tblGrid>
        <w:gridCol w:w="2400"/>
        <w:gridCol w:w="3398"/>
        <w:gridCol w:w="3546"/>
      </w:tblGrid>
      <w:tr w:rsidR="00E349CA" w:rsidRPr="00E349CA" w:rsidTr="00E349CA">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E349CA" w:rsidRPr="00E349CA" w:rsidRDefault="00E349CA" w:rsidP="00E349CA">
            <w:pPr>
              <w:spacing w:after="0" w:line="240" w:lineRule="auto"/>
              <w:rPr>
                <w:rFonts w:ascii="Times New Roman" w:eastAsia="Times New Roman" w:hAnsi="Times New Roman" w:cs="Times New Roman"/>
                <w:color w:val="1F1F1F"/>
                <w:sz w:val="24"/>
                <w:szCs w:val="24"/>
                <w:lang w:val="en-US"/>
              </w:rPr>
            </w:pPr>
            <w:proofErr w:type="spellStart"/>
            <w:r w:rsidRPr="00E349CA">
              <w:rPr>
                <w:rFonts w:ascii="Times New Roman" w:eastAsia="Times New Roman" w:hAnsi="Times New Roman" w:cs="Times New Roman"/>
                <w:b/>
                <w:bCs/>
                <w:color w:val="1F1F1F"/>
                <w:sz w:val="24"/>
                <w:szCs w:val="24"/>
                <w:bdr w:val="none" w:sz="0" w:space="0" w:color="auto" w:frame="1"/>
                <w:lang w:val="en-US"/>
              </w:rPr>
              <w:lastRenderedPageBreak/>
              <w:t>Documento</w:t>
            </w:r>
            <w:proofErr w:type="spellEnd"/>
            <w:r w:rsidRPr="00E349CA">
              <w:rPr>
                <w:rFonts w:ascii="Times New Roman" w:eastAsia="Times New Roman" w:hAnsi="Times New Roman" w:cs="Times New Roman"/>
                <w:b/>
                <w:bCs/>
                <w:color w:val="1F1F1F"/>
                <w:sz w:val="24"/>
                <w:szCs w:val="24"/>
                <w:bdr w:val="none" w:sz="0" w:space="0" w:color="auto" w:frame="1"/>
                <w:lang w:val="en-US"/>
              </w:rPr>
              <w:t xml:space="preserve"> Base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E349CA" w:rsidRPr="00E349CA" w:rsidRDefault="00E349CA" w:rsidP="00E349CA">
            <w:pPr>
              <w:spacing w:after="0" w:line="240" w:lineRule="auto"/>
              <w:rPr>
                <w:rFonts w:ascii="Times New Roman" w:eastAsia="Times New Roman" w:hAnsi="Times New Roman" w:cs="Times New Roman"/>
                <w:color w:val="1F1F1F"/>
                <w:sz w:val="24"/>
                <w:szCs w:val="24"/>
                <w:lang w:val="es-ES"/>
              </w:rPr>
            </w:pPr>
            <w:r w:rsidRPr="00E349CA">
              <w:rPr>
                <w:rFonts w:ascii="Times New Roman" w:eastAsia="Times New Roman" w:hAnsi="Times New Roman" w:cs="Times New Roman"/>
                <w:b/>
                <w:bCs/>
                <w:color w:val="1F1F1F"/>
                <w:sz w:val="24"/>
                <w:szCs w:val="24"/>
                <w:bdr w:val="none" w:sz="0" w:space="0" w:color="auto" w:frame="1"/>
                <w:lang w:val="es-ES"/>
              </w:rPr>
              <w:t>Hallazgo Clave sobre Espacio Público</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E349CA" w:rsidRPr="00E349CA" w:rsidRDefault="00E349CA" w:rsidP="00E349CA">
            <w:pPr>
              <w:spacing w:after="0" w:line="240" w:lineRule="auto"/>
              <w:rPr>
                <w:rFonts w:ascii="Times New Roman" w:eastAsia="Times New Roman" w:hAnsi="Times New Roman" w:cs="Times New Roman"/>
                <w:color w:val="1F1F1F"/>
                <w:sz w:val="24"/>
                <w:szCs w:val="24"/>
                <w:lang w:val="en-US"/>
              </w:rPr>
            </w:pPr>
            <w:proofErr w:type="spellStart"/>
            <w:r w:rsidRPr="00E349CA">
              <w:rPr>
                <w:rFonts w:ascii="Times New Roman" w:eastAsia="Times New Roman" w:hAnsi="Times New Roman" w:cs="Times New Roman"/>
                <w:b/>
                <w:bCs/>
                <w:color w:val="1F1F1F"/>
                <w:sz w:val="24"/>
                <w:szCs w:val="24"/>
                <w:bdr w:val="none" w:sz="0" w:space="0" w:color="auto" w:frame="1"/>
                <w:lang w:val="en-US"/>
              </w:rPr>
              <w:t>Implicación</w:t>
            </w:r>
            <w:proofErr w:type="spellEnd"/>
            <w:r w:rsidRPr="00E349CA">
              <w:rPr>
                <w:rFonts w:ascii="Times New Roman" w:eastAsia="Times New Roman" w:hAnsi="Times New Roman" w:cs="Times New Roman"/>
                <w:b/>
                <w:bCs/>
                <w:color w:val="1F1F1F"/>
                <w:sz w:val="24"/>
                <w:szCs w:val="24"/>
                <w:bdr w:val="none" w:sz="0" w:space="0" w:color="auto" w:frame="1"/>
                <w:lang w:val="en-US"/>
              </w:rPr>
              <w:t xml:space="preserve"> para el </w:t>
            </w:r>
            <w:proofErr w:type="spellStart"/>
            <w:r w:rsidRPr="00E349CA">
              <w:rPr>
                <w:rFonts w:ascii="Times New Roman" w:eastAsia="Times New Roman" w:hAnsi="Times New Roman" w:cs="Times New Roman"/>
                <w:b/>
                <w:bCs/>
                <w:color w:val="1F1F1F"/>
                <w:sz w:val="24"/>
                <w:szCs w:val="24"/>
                <w:bdr w:val="none" w:sz="0" w:space="0" w:color="auto" w:frame="1"/>
                <w:lang w:val="en-US"/>
              </w:rPr>
              <w:t>Diagnóstico</w:t>
            </w:r>
            <w:proofErr w:type="spellEnd"/>
          </w:p>
        </w:tc>
      </w:tr>
      <w:tr w:rsidR="00E349CA" w:rsidRPr="00E349CA" w:rsidTr="00E349CA">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E349CA" w:rsidRPr="00E349CA" w:rsidRDefault="00E349CA" w:rsidP="00E349CA">
            <w:pPr>
              <w:spacing w:after="0" w:line="240" w:lineRule="auto"/>
              <w:rPr>
                <w:rFonts w:ascii="Times New Roman" w:eastAsia="Times New Roman" w:hAnsi="Times New Roman" w:cs="Times New Roman"/>
                <w:color w:val="1F1F1F"/>
                <w:sz w:val="24"/>
                <w:szCs w:val="24"/>
                <w:lang w:val="en-US"/>
              </w:rPr>
            </w:pPr>
            <w:proofErr w:type="spellStart"/>
            <w:r w:rsidRPr="00E349CA">
              <w:rPr>
                <w:rFonts w:ascii="Times New Roman" w:eastAsia="Times New Roman" w:hAnsi="Times New Roman" w:cs="Times New Roman"/>
                <w:b/>
                <w:bCs/>
                <w:color w:val="1F1F1F"/>
                <w:sz w:val="24"/>
                <w:szCs w:val="24"/>
                <w:bdr w:val="none" w:sz="0" w:space="0" w:color="auto" w:frame="1"/>
                <w:lang w:val="en-US"/>
              </w:rPr>
              <w:t>Acuerdo</w:t>
            </w:r>
            <w:proofErr w:type="spellEnd"/>
            <w:r w:rsidRPr="00E349CA">
              <w:rPr>
                <w:rFonts w:ascii="Times New Roman" w:eastAsia="Times New Roman" w:hAnsi="Times New Roman" w:cs="Times New Roman"/>
                <w:b/>
                <w:bCs/>
                <w:color w:val="1F1F1F"/>
                <w:sz w:val="24"/>
                <w:szCs w:val="24"/>
                <w:bdr w:val="none" w:sz="0" w:space="0" w:color="auto" w:frame="1"/>
                <w:lang w:val="en-US"/>
              </w:rPr>
              <w:t xml:space="preserve"> 019/2009</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E349CA" w:rsidRPr="00E349CA" w:rsidRDefault="00E349CA" w:rsidP="00E349CA">
            <w:pPr>
              <w:spacing w:after="0" w:line="240" w:lineRule="auto"/>
              <w:rPr>
                <w:rFonts w:ascii="Times New Roman" w:eastAsia="Times New Roman" w:hAnsi="Times New Roman" w:cs="Times New Roman"/>
                <w:color w:val="1F1F1F"/>
                <w:sz w:val="24"/>
                <w:szCs w:val="24"/>
                <w:lang w:val="es-ES"/>
              </w:rPr>
            </w:pPr>
            <w:r w:rsidRPr="00E349CA">
              <w:rPr>
                <w:rFonts w:ascii="Times New Roman" w:eastAsia="Times New Roman" w:hAnsi="Times New Roman" w:cs="Times New Roman"/>
                <w:color w:val="1F1F1F"/>
                <w:sz w:val="24"/>
                <w:szCs w:val="24"/>
                <w:bdr w:val="none" w:sz="0" w:space="0" w:color="auto" w:frame="1"/>
                <w:lang w:val="es-ES"/>
              </w:rPr>
              <w:t>Definió metas ambiciosas de m²/hab.</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E349CA" w:rsidRPr="00E349CA" w:rsidRDefault="00E349CA" w:rsidP="00E349CA">
            <w:pPr>
              <w:spacing w:after="0" w:line="240" w:lineRule="auto"/>
              <w:rPr>
                <w:rFonts w:ascii="Times New Roman" w:eastAsia="Times New Roman" w:hAnsi="Times New Roman" w:cs="Times New Roman"/>
                <w:color w:val="1F1F1F"/>
                <w:sz w:val="24"/>
                <w:szCs w:val="24"/>
                <w:lang w:val="es-ES"/>
              </w:rPr>
            </w:pPr>
            <w:r w:rsidRPr="00E349CA">
              <w:rPr>
                <w:rFonts w:ascii="Times New Roman" w:eastAsia="Times New Roman" w:hAnsi="Times New Roman" w:cs="Times New Roman"/>
                <w:color w:val="1F1F1F"/>
                <w:sz w:val="24"/>
                <w:szCs w:val="24"/>
                <w:bdr w:val="none" w:sz="0" w:space="0" w:color="auto" w:frame="1"/>
                <w:lang w:val="es-ES"/>
              </w:rPr>
              <w:t>Sirve como línea base para medir el incumplimiento.</w:t>
            </w:r>
          </w:p>
        </w:tc>
      </w:tr>
      <w:tr w:rsidR="00E349CA" w:rsidRPr="00E349CA" w:rsidTr="00E349CA">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E349CA" w:rsidRPr="00E349CA" w:rsidRDefault="00E349CA" w:rsidP="00E349CA">
            <w:pPr>
              <w:spacing w:after="0" w:line="240" w:lineRule="auto"/>
              <w:rPr>
                <w:rFonts w:ascii="Times New Roman" w:eastAsia="Times New Roman" w:hAnsi="Times New Roman" w:cs="Times New Roman"/>
                <w:color w:val="1F1F1F"/>
                <w:sz w:val="24"/>
                <w:szCs w:val="24"/>
                <w:lang w:val="en-US"/>
              </w:rPr>
            </w:pPr>
            <w:proofErr w:type="spellStart"/>
            <w:r w:rsidRPr="00E349CA">
              <w:rPr>
                <w:rFonts w:ascii="Times New Roman" w:eastAsia="Times New Roman" w:hAnsi="Times New Roman" w:cs="Times New Roman"/>
                <w:b/>
                <w:bCs/>
                <w:color w:val="1F1F1F"/>
                <w:sz w:val="24"/>
                <w:szCs w:val="24"/>
                <w:bdr w:val="none" w:sz="0" w:space="0" w:color="auto" w:frame="1"/>
                <w:lang w:val="en-US"/>
              </w:rPr>
              <w:t>Seguimiento</w:t>
            </w:r>
            <w:proofErr w:type="spellEnd"/>
            <w:r w:rsidRPr="00E349CA">
              <w:rPr>
                <w:rFonts w:ascii="Times New Roman" w:eastAsia="Times New Roman" w:hAnsi="Times New Roman" w:cs="Times New Roman"/>
                <w:b/>
                <w:bCs/>
                <w:color w:val="1F1F1F"/>
                <w:sz w:val="24"/>
                <w:szCs w:val="24"/>
                <w:bdr w:val="none" w:sz="0" w:space="0" w:color="auto" w:frame="1"/>
                <w:lang w:val="en-US"/>
              </w:rPr>
              <w:t xml:space="preserve"> 2023 (161SEG~1)</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E349CA" w:rsidRPr="00E349CA" w:rsidRDefault="00E349CA" w:rsidP="00E349CA">
            <w:pPr>
              <w:spacing w:after="0" w:line="240" w:lineRule="auto"/>
              <w:rPr>
                <w:rFonts w:ascii="Times New Roman" w:eastAsia="Times New Roman" w:hAnsi="Times New Roman" w:cs="Times New Roman"/>
                <w:color w:val="1F1F1F"/>
                <w:sz w:val="24"/>
                <w:szCs w:val="24"/>
                <w:lang w:val="es-ES"/>
              </w:rPr>
            </w:pPr>
            <w:r w:rsidRPr="00E349CA">
              <w:rPr>
                <w:rFonts w:ascii="Times New Roman" w:eastAsia="Times New Roman" w:hAnsi="Times New Roman" w:cs="Times New Roman"/>
                <w:color w:val="1F1F1F"/>
                <w:sz w:val="24"/>
                <w:szCs w:val="24"/>
                <w:bdr w:val="none" w:sz="0" w:space="0" w:color="auto" w:frame="1"/>
                <w:lang w:val="es-ES"/>
              </w:rPr>
              <w:t xml:space="preserve">Reconoce </w:t>
            </w:r>
            <w:r w:rsidRPr="00E349CA">
              <w:rPr>
                <w:rFonts w:ascii="Times New Roman" w:eastAsia="Times New Roman" w:hAnsi="Times New Roman" w:cs="Times New Roman"/>
                <w:b/>
                <w:bCs/>
                <w:color w:val="1F1F1F"/>
                <w:sz w:val="24"/>
                <w:szCs w:val="24"/>
                <w:bdr w:val="none" w:sz="0" w:space="0" w:color="auto" w:frame="1"/>
                <w:lang w:val="es-ES"/>
              </w:rPr>
              <w:t>Déficit Cualitativo</w:t>
            </w:r>
            <w:r w:rsidRPr="00E349CA">
              <w:rPr>
                <w:rFonts w:ascii="Times New Roman" w:eastAsia="Times New Roman" w:hAnsi="Times New Roman" w:cs="Times New Roman"/>
                <w:color w:val="1F1F1F"/>
                <w:sz w:val="24"/>
                <w:szCs w:val="24"/>
                <w:bdr w:val="none" w:sz="0" w:space="0" w:color="auto" w:frame="1"/>
                <w:lang w:val="es-ES"/>
              </w:rPr>
              <w:t xml:space="preserve"> y ocupación de cañadas.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E349CA" w:rsidRPr="00E349CA" w:rsidRDefault="00E349CA" w:rsidP="00E349CA">
            <w:pPr>
              <w:spacing w:after="0" w:line="240" w:lineRule="auto"/>
              <w:rPr>
                <w:rFonts w:ascii="Times New Roman" w:eastAsia="Times New Roman" w:hAnsi="Times New Roman" w:cs="Times New Roman"/>
                <w:color w:val="1F1F1F"/>
                <w:sz w:val="24"/>
                <w:szCs w:val="24"/>
                <w:lang w:val="es-ES"/>
              </w:rPr>
            </w:pPr>
            <w:r w:rsidRPr="00E349CA">
              <w:rPr>
                <w:rFonts w:ascii="Times New Roman" w:eastAsia="Times New Roman" w:hAnsi="Times New Roman" w:cs="Times New Roman"/>
                <w:color w:val="1F1F1F"/>
                <w:sz w:val="24"/>
                <w:szCs w:val="24"/>
                <w:bdr w:val="none" w:sz="0" w:space="0" w:color="auto" w:frame="1"/>
                <w:lang w:val="es-ES"/>
              </w:rPr>
              <w:t>Justifica la necesidad de la Modificación Excepcional.</w:t>
            </w:r>
          </w:p>
        </w:tc>
      </w:tr>
      <w:tr w:rsidR="00E349CA" w:rsidRPr="00E349CA" w:rsidTr="00E349CA">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E349CA" w:rsidRPr="00E349CA" w:rsidRDefault="00E349CA" w:rsidP="00E349CA">
            <w:pPr>
              <w:spacing w:after="0" w:line="240" w:lineRule="auto"/>
              <w:rPr>
                <w:rFonts w:ascii="Times New Roman" w:eastAsia="Times New Roman" w:hAnsi="Times New Roman" w:cs="Times New Roman"/>
                <w:color w:val="1F1F1F"/>
                <w:sz w:val="24"/>
                <w:szCs w:val="24"/>
                <w:lang w:val="en-US"/>
              </w:rPr>
            </w:pPr>
            <w:r w:rsidRPr="00E349CA">
              <w:rPr>
                <w:rFonts w:ascii="Times New Roman" w:eastAsia="Times New Roman" w:hAnsi="Times New Roman" w:cs="Times New Roman"/>
                <w:b/>
                <w:bCs/>
                <w:color w:val="1F1F1F"/>
                <w:sz w:val="24"/>
                <w:szCs w:val="24"/>
                <w:bdr w:val="none" w:sz="0" w:space="0" w:color="auto" w:frame="1"/>
                <w:lang w:val="en-US"/>
              </w:rPr>
              <w:t xml:space="preserve">POZ </w:t>
            </w:r>
            <w:proofErr w:type="spellStart"/>
            <w:r w:rsidRPr="00E349CA">
              <w:rPr>
                <w:rFonts w:ascii="Times New Roman" w:eastAsia="Times New Roman" w:hAnsi="Times New Roman" w:cs="Times New Roman"/>
                <w:b/>
                <w:bCs/>
                <w:color w:val="1F1F1F"/>
                <w:sz w:val="24"/>
                <w:szCs w:val="24"/>
                <w:bdr w:val="none" w:sz="0" w:space="0" w:color="auto" w:frame="1"/>
                <w:lang w:val="en-US"/>
              </w:rPr>
              <w:t>Centenario</w:t>
            </w:r>
            <w:proofErr w:type="spellEnd"/>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E349CA" w:rsidRPr="00E349CA" w:rsidRDefault="00E349CA" w:rsidP="00E349CA">
            <w:pPr>
              <w:spacing w:after="0" w:line="240" w:lineRule="auto"/>
              <w:rPr>
                <w:rFonts w:ascii="Times New Roman" w:eastAsia="Times New Roman" w:hAnsi="Times New Roman" w:cs="Times New Roman"/>
                <w:color w:val="1F1F1F"/>
                <w:sz w:val="24"/>
                <w:szCs w:val="24"/>
                <w:lang w:val="en-US"/>
              </w:rPr>
            </w:pPr>
            <w:proofErr w:type="spellStart"/>
            <w:r w:rsidRPr="00E349CA">
              <w:rPr>
                <w:rFonts w:ascii="Times New Roman" w:eastAsia="Times New Roman" w:hAnsi="Times New Roman" w:cs="Times New Roman"/>
                <w:color w:val="1F1F1F"/>
                <w:sz w:val="24"/>
                <w:szCs w:val="24"/>
                <w:bdr w:val="none" w:sz="0" w:space="0" w:color="auto" w:frame="1"/>
                <w:lang w:val="en-US"/>
              </w:rPr>
              <w:t>Aplica</w:t>
            </w:r>
            <w:proofErr w:type="spellEnd"/>
            <w:r w:rsidRPr="00E349CA">
              <w:rPr>
                <w:rFonts w:ascii="Times New Roman" w:eastAsia="Times New Roman" w:hAnsi="Times New Roman" w:cs="Times New Roman"/>
                <w:color w:val="1F1F1F"/>
                <w:sz w:val="24"/>
                <w:szCs w:val="24"/>
                <w:bdr w:val="none" w:sz="0" w:space="0" w:color="auto" w:frame="1"/>
                <w:lang w:val="en-US"/>
              </w:rPr>
              <w:t xml:space="preserve"> </w:t>
            </w:r>
            <w:proofErr w:type="spellStart"/>
            <w:r w:rsidRPr="00E349CA">
              <w:rPr>
                <w:rFonts w:ascii="Times New Roman" w:eastAsia="Times New Roman" w:hAnsi="Times New Roman" w:cs="Times New Roman"/>
                <w:color w:val="1F1F1F"/>
                <w:sz w:val="24"/>
                <w:szCs w:val="24"/>
                <w:bdr w:val="none" w:sz="0" w:space="0" w:color="auto" w:frame="1"/>
                <w:lang w:val="en-US"/>
              </w:rPr>
              <w:t>compensaciones</w:t>
            </w:r>
            <w:proofErr w:type="spellEnd"/>
            <w:r w:rsidRPr="00E349CA">
              <w:rPr>
                <w:rFonts w:ascii="Times New Roman" w:eastAsia="Times New Roman" w:hAnsi="Times New Roman" w:cs="Times New Roman"/>
                <w:color w:val="1F1F1F"/>
                <w:sz w:val="24"/>
                <w:szCs w:val="24"/>
                <w:bdr w:val="none" w:sz="0" w:space="0" w:color="auto" w:frame="1"/>
                <w:lang w:val="en-US"/>
              </w:rPr>
              <w:t xml:space="preserve"> </w:t>
            </w:r>
            <w:proofErr w:type="spellStart"/>
            <w:r w:rsidRPr="00E349CA">
              <w:rPr>
                <w:rFonts w:ascii="Times New Roman" w:eastAsia="Times New Roman" w:hAnsi="Times New Roman" w:cs="Times New Roman"/>
                <w:color w:val="1F1F1F"/>
                <w:sz w:val="24"/>
                <w:szCs w:val="24"/>
                <w:bdr w:val="none" w:sz="0" w:space="0" w:color="auto" w:frame="1"/>
                <w:lang w:val="en-US"/>
              </w:rPr>
              <w:t>económicas</w:t>
            </w:r>
            <w:proofErr w:type="spellEnd"/>
            <w:r w:rsidRPr="00E349CA">
              <w:rPr>
                <w:rFonts w:ascii="Times New Roman" w:eastAsia="Times New Roman" w:hAnsi="Times New Roman" w:cs="Times New Roman"/>
                <w:color w:val="1F1F1F"/>
                <w:sz w:val="24"/>
                <w:szCs w:val="24"/>
                <w:bdr w:val="none" w:sz="0" w:space="0" w:color="auto" w:frame="1"/>
                <w:lang w:val="en-US"/>
              </w:rPr>
              <w:t xml:space="preserve"> ($110.000/m²).</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E349CA" w:rsidRPr="00E349CA" w:rsidRDefault="00E349CA" w:rsidP="00E349CA">
            <w:pPr>
              <w:spacing w:after="0" w:line="240" w:lineRule="auto"/>
              <w:rPr>
                <w:rFonts w:ascii="Times New Roman" w:eastAsia="Times New Roman" w:hAnsi="Times New Roman" w:cs="Times New Roman"/>
                <w:color w:val="1F1F1F"/>
                <w:sz w:val="24"/>
                <w:szCs w:val="24"/>
                <w:lang w:val="es-ES"/>
              </w:rPr>
            </w:pPr>
            <w:r w:rsidRPr="00E349CA">
              <w:rPr>
                <w:rFonts w:ascii="Times New Roman" w:eastAsia="Times New Roman" w:hAnsi="Times New Roman" w:cs="Times New Roman"/>
                <w:color w:val="1F1F1F"/>
                <w:sz w:val="24"/>
                <w:szCs w:val="24"/>
                <w:bdr w:val="none" w:sz="0" w:space="0" w:color="auto" w:frame="1"/>
                <w:lang w:val="es-ES"/>
              </w:rPr>
              <w:t>Muestra el modelo de gestión financiera actual.</w:t>
            </w:r>
          </w:p>
        </w:tc>
      </w:tr>
      <w:tr w:rsidR="00E349CA" w:rsidRPr="00E349CA" w:rsidTr="00E349CA">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E349CA" w:rsidRPr="00E349CA" w:rsidRDefault="00E349CA" w:rsidP="00E349CA">
            <w:pPr>
              <w:spacing w:after="0" w:line="240" w:lineRule="auto"/>
              <w:rPr>
                <w:rFonts w:ascii="Times New Roman" w:eastAsia="Times New Roman" w:hAnsi="Times New Roman" w:cs="Times New Roman"/>
                <w:color w:val="1F1F1F"/>
                <w:sz w:val="24"/>
                <w:szCs w:val="24"/>
                <w:lang w:val="en-US"/>
              </w:rPr>
            </w:pPr>
            <w:proofErr w:type="spellStart"/>
            <w:r w:rsidRPr="00E349CA">
              <w:rPr>
                <w:rFonts w:ascii="Times New Roman" w:eastAsia="Times New Roman" w:hAnsi="Times New Roman" w:cs="Times New Roman"/>
                <w:b/>
                <w:bCs/>
                <w:color w:val="1F1F1F"/>
                <w:sz w:val="24"/>
                <w:szCs w:val="24"/>
                <w:bdr w:val="none" w:sz="0" w:space="0" w:color="auto" w:frame="1"/>
                <w:lang w:val="en-US"/>
              </w:rPr>
              <w:t>Fichas</w:t>
            </w:r>
            <w:proofErr w:type="spellEnd"/>
            <w:r w:rsidRPr="00E349CA">
              <w:rPr>
                <w:rFonts w:ascii="Times New Roman" w:eastAsia="Times New Roman" w:hAnsi="Times New Roman" w:cs="Times New Roman"/>
                <w:b/>
                <w:bCs/>
                <w:color w:val="1F1F1F"/>
                <w:sz w:val="24"/>
                <w:szCs w:val="24"/>
                <w:bdr w:val="none" w:sz="0" w:space="0" w:color="auto" w:frame="1"/>
                <w:lang w:val="en-US"/>
              </w:rPr>
              <w:t xml:space="preserve"> 2024</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E349CA" w:rsidRPr="00E349CA" w:rsidRDefault="00E349CA" w:rsidP="00E349CA">
            <w:pPr>
              <w:spacing w:after="0" w:line="240" w:lineRule="auto"/>
              <w:rPr>
                <w:rFonts w:ascii="Times New Roman" w:eastAsia="Times New Roman" w:hAnsi="Times New Roman" w:cs="Times New Roman"/>
                <w:color w:val="1F1F1F"/>
                <w:sz w:val="24"/>
                <w:szCs w:val="24"/>
                <w:lang w:val="es-ES"/>
              </w:rPr>
            </w:pPr>
            <w:r w:rsidRPr="00E349CA">
              <w:rPr>
                <w:rFonts w:ascii="Times New Roman" w:eastAsia="Times New Roman" w:hAnsi="Times New Roman" w:cs="Times New Roman"/>
                <w:color w:val="1F1F1F"/>
                <w:sz w:val="24"/>
                <w:szCs w:val="24"/>
                <w:bdr w:val="none" w:sz="0" w:space="0" w:color="auto" w:frame="1"/>
                <w:lang w:val="es-ES"/>
              </w:rPr>
              <w:t>Introduce "Servicios de Proximidad" (Ciudad 15 min).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E349CA" w:rsidRPr="00E349CA" w:rsidRDefault="00E349CA" w:rsidP="00E349CA">
            <w:pPr>
              <w:spacing w:after="0" w:line="240" w:lineRule="auto"/>
              <w:rPr>
                <w:rFonts w:ascii="Times New Roman" w:eastAsia="Times New Roman" w:hAnsi="Times New Roman" w:cs="Times New Roman"/>
                <w:color w:val="1F1F1F"/>
                <w:sz w:val="24"/>
                <w:szCs w:val="24"/>
                <w:lang w:val="es-ES"/>
              </w:rPr>
            </w:pPr>
            <w:r w:rsidRPr="00E349CA">
              <w:rPr>
                <w:rFonts w:ascii="Times New Roman" w:eastAsia="Times New Roman" w:hAnsi="Times New Roman" w:cs="Times New Roman"/>
                <w:color w:val="1F1F1F"/>
                <w:sz w:val="24"/>
                <w:szCs w:val="24"/>
                <w:bdr w:val="none" w:sz="0" w:space="0" w:color="auto" w:frame="1"/>
                <w:lang w:val="es-ES"/>
              </w:rPr>
              <w:t>Propone la solución para descentralizar el espacio público.</w:t>
            </w:r>
          </w:p>
        </w:tc>
      </w:tr>
    </w:tbl>
    <w:p w:rsidR="00306F40" w:rsidRPr="0022731E" w:rsidRDefault="00306F40">
      <w:pPr>
        <w:rPr>
          <w:lang w:val="es-ES"/>
        </w:rPr>
      </w:pPr>
      <w:bookmarkStart w:id="0" w:name="_GoBack"/>
      <w:bookmarkEnd w:id="0"/>
    </w:p>
    <w:sectPr w:rsidR="00306F40" w:rsidRPr="0022731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3156D"/>
    <w:multiLevelType w:val="multilevel"/>
    <w:tmpl w:val="4D787E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B4BF7"/>
    <w:multiLevelType w:val="multilevel"/>
    <w:tmpl w:val="F934CE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A341DF"/>
    <w:multiLevelType w:val="multilevel"/>
    <w:tmpl w:val="AA7602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AE6240"/>
    <w:multiLevelType w:val="multilevel"/>
    <w:tmpl w:val="E962D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946D96"/>
    <w:multiLevelType w:val="multilevel"/>
    <w:tmpl w:val="CCEAD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C45035"/>
    <w:multiLevelType w:val="multilevel"/>
    <w:tmpl w:val="9BD24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1978BE"/>
    <w:multiLevelType w:val="multilevel"/>
    <w:tmpl w:val="EB3AAE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F8078F"/>
    <w:multiLevelType w:val="multilevel"/>
    <w:tmpl w:val="717E8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8553D2"/>
    <w:multiLevelType w:val="multilevel"/>
    <w:tmpl w:val="EC4CB2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C27F04"/>
    <w:multiLevelType w:val="multilevel"/>
    <w:tmpl w:val="FB741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61124D"/>
    <w:multiLevelType w:val="multilevel"/>
    <w:tmpl w:val="7BBC7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D107658"/>
    <w:multiLevelType w:val="multilevel"/>
    <w:tmpl w:val="CA245D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83A3DEE"/>
    <w:multiLevelType w:val="multilevel"/>
    <w:tmpl w:val="3F4A8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4843FAE"/>
    <w:multiLevelType w:val="multilevel"/>
    <w:tmpl w:val="55400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5D0206"/>
    <w:multiLevelType w:val="multilevel"/>
    <w:tmpl w:val="90EE9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8"/>
  </w:num>
  <w:num w:numId="3">
    <w:abstractNumId w:val="5"/>
  </w:num>
  <w:num w:numId="4">
    <w:abstractNumId w:val="13"/>
  </w:num>
  <w:num w:numId="5">
    <w:abstractNumId w:val="10"/>
  </w:num>
  <w:num w:numId="6">
    <w:abstractNumId w:val="14"/>
  </w:num>
  <w:num w:numId="7">
    <w:abstractNumId w:val="4"/>
  </w:num>
  <w:num w:numId="8">
    <w:abstractNumId w:val="7"/>
  </w:num>
  <w:num w:numId="9">
    <w:abstractNumId w:val="11"/>
  </w:num>
  <w:num w:numId="10">
    <w:abstractNumId w:val="0"/>
  </w:num>
  <w:num w:numId="11">
    <w:abstractNumId w:val="1"/>
  </w:num>
  <w:num w:numId="12">
    <w:abstractNumId w:val="9"/>
  </w:num>
  <w:num w:numId="13">
    <w:abstractNumId w:val="12"/>
  </w:num>
  <w:num w:numId="14">
    <w:abstractNumId w:val="2"/>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731E"/>
    <w:rsid w:val="001414AF"/>
    <w:rsid w:val="0022731E"/>
    <w:rsid w:val="00306F40"/>
    <w:rsid w:val="00AC2718"/>
    <w:rsid w:val="00BA156F"/>
    <w:rsid w:val="00E14586"/>
    <w:rsid w:val="00E25F25"/>
    <w:rsid w:val="00E349CA"/>
    <w:rsid w:val="00E850FD"/>
    <w:rsid w:val="00F915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AA5B7E-3490-4D27-91FE-1F2E0EC40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CO"/>
    </w:rPr>
  </w:style>
  <w:style w:type="paragraph" w:styleId="Ttulo3">
    <w:name w:val="heading 3"/>
    <w:basedOn w:val="Normal"/>
    <w:link w:val="Ttulo3Car"/>
    <w:uiPriority w:val="9"/>
    <w:qFormat/>
    <w:rsid w:val="0022731E"/>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paragraph" w:styleId="Ttulo4">
    <w:name w:val="heading 4"/>
    <w:basedOn w:val="Normal"/>
    <w:link w:val="Ttulo4Car"/>
    <w:uiPriority w:val="9"/>
    <w:qFormat/>
    <w:rsid w:val="0022731E"/>
    <w:pPr>
      <w:spacing w:before="100" w:beforeAutospacing="1" w:after="100" w:afterAutospacing="1" w:line="240" w:lineRule="auto"/>
      <w:outlineLvl w:val="3"/>
    </w:pPr>
    <w:rPr>
      <w:rFonts w:ascii="Times New Roman" w:eastAsia="Times New Roman" w:hAnsi="Times New Roman" w:cs="Times New Roman"/>
      <w:b/>
      <w:bCs/>
      <w:sz w:val="24"/>
      <w:szCs w:val="24"/>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2731E"/>
    <w:rPr>
      <w:rFonts w:ascii="Times New Roman" w:eastAsia="Times New Roman" w:hAnsi="Times New Roman" w:cs="Times New Roman"/>
      <w:b/>
      <w:bCs/>
      <w:sz w:val="27"/>
      <w:szCs w:val="27"/>
    </w:rPr>
  </w:style>
  <w:style w:type="character" w:customStyle="1" w:styleId="Ttulo4Car">
    <w:name w:val="Título 4 Car"/>
    <w:basedOn w:val="Fuentedeprrafopredeter"/>
    <w:link w:val="Ttulo4"/>
    <w:uiPriority w:val="9"/>
    <w:rsid w:val="0022731E"/>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22731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Textoennegrita">
    <w:name w:val="Strong"/>
    <w:basedOn w:val="Fuentedeprrafopredeter"/>
    <w:uiPriority w:val="22"/>
    <w:qFormat/>
    <w:rsid w:val="00E349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988498">
      <w:bodyDiv w:val="1"/>
      <w:marLeft w:val="0"/>
      <w:marRight w:val="0"/>
      <w:marTop w:val="0"/>
      <w:marBottom w:val="0"/>
      <w:divBdr>
        <w:top w:val="none" w:sz="0" w:space="0" w:color="auto"/>
        <w:left w:val="none" w:sz="0" w:space="0" w:color="auto"/>
        <w:bottom w:val="none" w:sz="0" w:space="0" w:color="auto"/>
        <w:right w:val="none" w:sz="0" w:space="0" w:color="auto"/>
      </w:divBdr>
    </w:div>
    <w:div w:id="877939535">
      <w:bodyDiv w:val="1"/>
      <w:marLeft w:val="0"/>
      <w:marRight w:val="0"/>
      <w:marTop w:val="0"/>
      <w:marBottom w:val="0"/>
      <w:divBdr>
        <w:top w:val="none" w:sz="0" w:space="0" w:color="auto"/>
        <w:left w:val="none" w:sz="0" w:space="0" w:color="auto"/>
        <w:bottom w:val="none" w:sz="0" w:space="0" w:color="auto"/>
        <w:right w:val="none" w:sz="0" w:space="0" w:color="auto"/>
      </w:divBdr>
    </w:div>
    <w:div w:id="1632438291">
      <w:bodyDiv w:val="1"/>
      <w:marLeft w:val="0"/>
      <w:marRight w:val="0"/>
      <w:marTop w:val="0"/>
      <w:marBottom w:val="0"/>
      <w:divBdr>
        <w:top w:val="none" w:sz="0" w:space="0" w:color="auto"/>
        <w:left w:val="none" w:sz="0" w:space="0" w:color="auto"/>
        <w:bottom w:val="none" w:sz="0" w:space="0" w:color="auto"/>
        <w:right w:val="none" w:sz="0" w:space="0" w:color="auto"/>
      </w:divBdr>
    </w:div>
    <w:div w:id="1969777694">
      <w:bodyDiv w:val="1"/>
      <w:marLeft w:val="0"/>
      <w:marRight w:val="0"/>
      <w:marTop w:val="0"/>
      <w:marBottom w:val="0"/>
      <w:divBdr>
        <w:top w:val="none" w:sz="0" w:space="0" w:color="auto"/>
        <w:left w:val="none" w:sz="0" w:space="0" w:color="auto"/>
        <w:bottom w:val="none" w:sz="0" w:space="0" w:color="auto"/>
        <w:right w:val="none" w:sz="0" w:space="0" w:color="auto"/>
      </w:divBdr>
    </w:div>
    <w:div w:id="197286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TotalTime>
  <Pages>5</Pages>
  <Words>1528</Words>
  <Characters>8716</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jaime castro</dc:creator>
  <cp:keywords/>
  <dc:description/>
  <cp:lastModifiedBy>jaime castro</cp:lastModifiedBy>
  <cp:revision>4</cp:revision>
  <dcterms:created xsi:type="dcterms:W3CDTF">2026-02-23T15:44:00Z</dcterms:created>
  <dcterms:modified xsi:type="dcterms:W3CDTF">2026-02-23T18:43:00Z</dcterms:modified>
</cp:coreProperties>
</file>